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D3C7C" w14:textId="154CF81D" w:rsidR="00FE6C0B" w:rsidRDefault="004721EA" w:rsidP="004721EA">
      <w:pPr>
        <w:jc w:val="center"/>
        <w:rPr>
          <w:b/>
          <w:sz w:val="28"/>
        </w:rPr>
      </w:pPr>
      <w:r>
        <w:rPr>
          <w:b/>
          <w:sz w:val="28"/>
        </w:rPr>
        <w:t xml:space="preserve">March 2020 - </w:t>
      </w:r>
      <w:r w:rsidR="00B56B58">
        <w:rPr>
          <w:b/>
          <w:sz w:val="32"/>
        </w:rPr>
        <w:t>Breathlessness</w:t>
      </w:r>
      <w:r w:rsidR="00FE6C0B" w:rsidRPr="00FE6C0B">
        <w:rPr>
          <w:b/>
          <w:sz w:val="32"/>
        </w:rPr>
        <w:t xml:space="preserve"> management guidelines</w:t>
      </w:r>
      <w:r w:rsidR="00FE6C0B">
        <w:rPr>
          <w:b/>
          <w:sz w:val="32"/>
        </w:rPr>
        <w:t>:</w:t>
      </w:r>
    </w:p>
    <w:p w14:paraId="3E464C45" w14:textId="509BB266" w:rsidR="00D34EE7" w:rsidRDefault="00FE6C0B" w:rsidP="00FE6C0B">
      <w:pPr>
        <w:jc w:val="center"/>
        <w:rPr>
          <w:b/>
          <w:sz w:val="28"/>
        </w:rPr>
      </w:pPr>
      <w:r w:rsidRPr="00FE6C0B">
        <w:rPr>
          <w:b/>
          <w:sz w:val="28"/>
        </w:rPr>
        <w:t xml:space="preserve">For </w:t>
      </w:r>
      <w:r w:rsidR="00B56B58">
        <w:rPr>
          <w:b/>
          <w:sz w:val="28"/>
        </w:rPr>
        <w:t xml:space="preserve">community professionals to use to care for </w:t>
      </w:r>
      <w:r w:rsidRPr="00FE6C0B">
        <w:rPr>
          <w:b/>
          <w:sz w:val="28"/>
        </w:rPr>
        <w:t>patients with known or suspected COVID-19 in community setting</w:t>
      </w:r>
      <w:r w:rsidR="00B56B58">
        <w:rPr>
          <w:b/>
          <w:sz w:val="28"/>
        </w:rPr>
        <w:t>s</w:t>
      </w:r>
    </w:p>
    <w:p w14:paraId="62A2369B" w14:textId="0AC97F5C" w:rsidR="00FE6C0B" w:rsidRPr="00494202" w:rsidRDefault="00FE6C0B">
      <w:pPr>
        <w:rPr>
          <w:b/>
        </w:rPr>
      </w:pPr>
      <w:r w:rsidRPr="00494202">
        <w:rPr>
          <w:b/>
        </w:rPr>
        <w:t>Key principles:</w:t>
      </w:r>
    </w:p>
    <w:p w14:paraId="0415D2F8" w14:textId="0EDC3117" w:rsidR="00FE6C0B" w:rsidRPr="00B56B58" w:rsidRDefault="00FE6C0B" w:rsidP="00FE6C0B">
      <w:pPr>
        <w:pStyle w:val="ListParagraph"/>
        <w:numPr>
          <w:ilvl w:val="0"/>
          <w:numId w:val="1"/>
        </w:numPr>
        <w:rPr>
          <w:rFonts w:cstheme="minorHAnsi"/>
        </w:rPr>
      </w:pPr>
      <w:r w:rsidRPr="00B56B58">
        <w:rPr>
          <w:rFonts w:cstheme="minorHAnsi"/>
        </w:rPr>
        <w:t xml:space="preserve">This guidance is intended for the management of </w:t>
      </w:r>
      <w:r w:rsidR="00B56B58" w:rsidRPr="00B56B58">
        <w:rPr>
          <w:rFonts w:cstheme="minorHAnsi"/>
        </w:rPr>
        <w:t xml:space="preserve">breathlessness in </w:t>
      </w:r>
      <w:r w:rsidRPr="00B56B58">
        <w:rPr>
          <w:rFonts w:cstheme="minorHAnsi"/>
        </w:rPr>
        <w:t xml:space="preserve">patients who are known to be in the last </w:t>
      </w:r>
      <w:r w:rsidR="00B56B58">
        <w:rPr>
          <w:rFonts w:cstheme="minorHAnsi"/>
        </w:rPr>
        <w:t xml:space="preserve">weeks / </w:t>
      </w:r>
      <w:r w:rsidRPr="00B56B58">
        <w:rPr>
          <w:rFonts w:cstheme="minorHAnsi"/>
        </w:rPr>
        <w:t>days of life dying with COVID-19 or suspected COVID-19</w:t>
      </w:r>
    </w:p>
    <w:p w14:paraId="544B34D5" w14:textId="03F70606" w:rsidR="00FE6C0B" w:rsidRPr="00862B11" w:rsidRDefault="00FE6C0B" w:rsidP="00A557C1">
      <w:pPr>
        <w:pStyle w:val="ListParagraph"/>
        <w:numPr>
          <w:ilvl w:val="0"/>
          <w:numId w:val="1"/>
        </w:numPr>
        <w:rPr>
          <w:rFonts w:cstheme="minorHAnsi"/>
        </w:rPr>
      </w:pPr>
      <w:r w:rsidRPr="00862B11">
        <w:rPr>
          <w:rFonts w:cstheme="minorHAnsi"/>
        </w:rPr>
        <w:t>This should be read in conjunction with local palliative care symptom control guidelines</w:t>
      </w:r>
      <w:r w:rsidR="00B56B58" w:rsidRPr="00862B11">
        <w:rPr>
          <w:rFonts w:cstheme="minorHAnsi"/>
        </w:rPr>
        <w:t xml:space="preserve">. </w:t>
      </w:r>
      <w:r w:rsidR="00862B11" w:rsidRPr="00862B11">
        <w:rPr>
          <w:rFonts w:cstheme="minorHAnsi"/>
        </w:rPr>
        <w:t xml:space="preserve"> See documents: Royal Trinity Hospice C020 Guidelines: EOLC Symptom Control for Patients with Normal Renal Function (in Wandsworth)</w:t>
      </w:r>
      <w:r w:rsidR="00862B11">
        <w:rPr>
          <w:rFonts w:cstheme="minorHAnsi"/>
        </w:rPr>
        <w:t xml:space="preserve">. </w:t>
      </w:r>
      <w:r w:rsidR="00862B11" w:rsidRPr="00862B11">
        <w:rPr>
          <w:rFonts w:cstheme="minorHAnsi"/>
        </w:rPr>
        <w:t xml:space="preserve"> Royal Trinity Hospice C018 Guidelines: EOLC Symptom Control for Patients with Renal Failure (in Wandsworth &amp; Tri-borough). </w:t>
      </w:r>
    </w:p>
    <w:p w14:paraId="6C975A9A" w14:textId="3A2E1C84" w:rsidR="00862B11" w:rsidRPr="00862B11" w:rsidRDefault="00B56B58" w:rsidP="00862B11">
      <w:pPr>
        <w:pStyle w:val="ListParagraph"/>
        <w:numPr>
          <w:ilvl w:val="0"/>
          <w:numId w:val="1"/>
        </w:numPr>
        <w:spacing w:after="0" w:line="240" w:lineRule="auto"/>
        <w:rPr>
          <w:rFonts w:eastAsia="Times New Roman" w:cstheme="minorHAnsi"/>
          <w:color w:val="000000"/>
          <w:lang w:eastAsia="en-GB"/>
        </w:rPr>
      </w:pPr>
      <w:r w:rsidRPr="00B56B58">
        <w:rPr>
          <w:rFonts w:eastAsia="Times New Roman" w:cstheme="minorHAnsi"/>
          <w:color w:val="1F497D"/>
          <w:lang w:eastAsia="en-GB"/>
        </w:rPr>
        <w:t>T</w:t>
      </w:r>
      <w:r w:rsidRPr="00B56B58">
        <w:rPr>
          <w:rFonts w:eastAsia="Times New Roman" w:cstheme="minorHAnsi"/>
          <w:color w:val="000000"/>
          <w:lang w:eastAsia="en-GB"/>
        </w:rPr>
        <w:t>he goal of care is to manage symptomatic breathlessness and associated anxiety. These symptoms are managed with non-pharmacological interventions,</w:t>
      </w:r>
      <w:r w:rsidR="00862B11">
        <w:rPr>
          <w:rFonts w:eastAsia="Times New Roman" w:cstheme="minorHAnsi"/>
          <w:color w:val="000000"/>
          <w:lang w:eastAsia="en-GB"/>
        </w:rPr>
        <w:t xml:space="preserve"> </w:t>
      </w:r>
      <w:r w:rsidRPr="00B56B58">
        <w:rPr>
          <w:rFonts w:eastAsia="Times New Roman" w:cstheme="minorHAnsi"/>
          <w:color w:val="000000"/>
          <w:lang w:eastAsia="en-GB"/>
        </w:rPr>
        <w:t>opioids and benzodiazepines The</w:t>
      </w:r>
      <w:r>
        <w:rPr>
          <w:rFonts w:eastAsia="Times New Roman" w:cstheme="minorHAnsi"/>
          <w:color w:val="000000"/>
          <w:lang w:eastAsia="en-GB"/>
        </w:rPr>
        <w:t>se medications</w:t>
      </w:r>
      <w:r w:rsidRPr="00B56B58">
        <w:rPr>
          <w:rFonts w:eastAsia="Times New Roman" w:cstheme="minorHAnsi"/>
          <w:color w:val="000000"/>
          <w:lang w:eastAsia="en-GB"/>
        </w:rPr>
        <w:t xml:space="preserve"> should not be withheld for fear of respiratory depression as they give great comfort and are the mainstays of symptom management. Most people need low doses of medication to achieve symptom relief; some will need higher doses</w:t>
      </w:r>
      <w:r>
        <w:rPr>
          <w:rFonts w:eastAsia="Times New Roman" w:cstheme="minorHAnsi"/>
          <w:color w:val="000000"/>
          <w:lang w:eastAsia="en-GB"/>
        </w:rPr>
        <w:t>, and the doses may need to be increased as the patient deteriorates</w:t>
      </w:r>
      <w:r w:rsidRPr="00B56B58">
        <w:rPr>
          <w:rFonts w:eastAsia="Times New Roman" w:cstheme="minorHAnsi"/>
          <w:color w:val="000000"/>
          <w:lang w:eastAsia="en-GB"/>
        </w:rPr>
        <w:t>. The guidance overleaf suggests sensible safe start</w:t>
      </w:r>
      <w:r>
        <w:rPr>
          <w:rFonts w:eastAsia="Times New Roman" w:cstheme="minorHAnsi"/>
          <w:color w:val="000000"/>
          <w:lang w:eastAsia="en-GB"/>
        </w:rPr>
        <w:t>ing</w:t>
      </w:r>
      <w:r w:rsidRPr="00B56B58">
        <w:rPr>
          <w:rFonts w:eastAsia="Times New Roman" w:cstheme="minorHAnsi"/>
          <w:color w:val="000000"/>
          <w:lang w:eastAsia="en-GB"/>
        </w:rPr>
        <w:t xml:space="preserve"> doses for people who may be in the last </w:t>
      </w:r>
      <w:r>
        <w:rPr>
          <w:rFonts w:eastAsia="Times New Roman" w:cstheme="minorHAnsi"/>
          <w:color w:val="000000"/>
          <w:lang w:eastAsia="en-GB"/>
        </w:rPr>
        <w:t xml:space="preserve">weeks / </w:t>
      </w:r>
      <w:r w:rsidRPr="00B56B58">
        <w:rPr>
          <w:rFonts w:eastAsia="Times New Roman" w:cstheme="minorHAnsi"/>
          <w:color w:val="000000"/>
          <w:lang w:eastAsia="en-GB"/>
        </w:rPr>
        <w:t>days of life.</w:t>
      </w:r>
      <w:r w:rsidR="00862B11">
        <w:rPr>
          <w:rFonts w:eastAsia="Times New Roman" w:cstheme="minorHAnsi"/>
          <w:color w:val="000000"/>
          <w:lang w:eastAsia="en-GB"/>
        </w:rPr>
        <w:t xml:space="preserve"> </w:t>
      </w:r>
      <w:r w:rsidR="00A23544">
        <w:rPr>
          <w:rFonts w:eastAsia="Times New Roman" w:cstheme="minorHAnsi"/>
          <w:color w:val="000000"/>
          <w:lang w:eastAsia="en-GB"/>
        </w:rPr>
        <w:t xml:space="preserve">See also </w:t>
      </w:r>
      <w:r w:rsidR="009E58C6">
        <w:rPr>
          <w:rFonts w:eastAsia="Times New Roman" w:cstheme="minorHAnsi"/>
          <w:color w:val="000000"/>
          <w:lang w:eastAsia="en-GB"/>
        </w:rPr>
        <w:t>RTH leaflet</w:t>
      </w:r>
      <w:r w:rsidR="009E5389">
        <w:rPr>
          <w:rFonts w:eastAsia="Times New Roman" w:cstheme="minorHAnsi"/>
          <w:color w:val="000000"/>
          <w:lang w:eastAsia="en-GB"/>
        </w:rPr>
        <w:t>:</w:t>
      </w:r>
      <w:bookmarkStart w:id="0" w:name="_GoBack"/>
      <w:bookmarkEnd w:id="0"/>
      <w:r w:rsidR="00A23544">
        <w:rPr>
          <w:rFonts w:eastAsia="Times New Roman" w:cstheme="minorHAnsi"/>
          <w:color w:val="000000"/>
          <w:lang w:eastAsia="en-GB"/>
        </w:rPr>
        <w:t xml:space="preserve"> </w:t>
      </w:r>
      <w:r w:rsidR="00A23544" w:rsidRPr="00A23544">
        <w:rPr>
          <w:rFonts w:eastAsia="Times New Roman" w:cstheme="minorHAnsi"/>
          <w:color w:val="000000"/>
          <w:lang w:eastAsia="en-GB"/>
        </w:rPr>
        <w:t xml:space="preserve">Helping </w:t>
      </w:r>
      <w:r w:rsidR="009E5389" w:rsidRPr="00A23544">
        <w:rPr>
          <w:rFonts w:eastAsia="Times New Roman" w:cstheme="minorHAnsi"/>
          <w:color w:val="000000"/>
          <w:lang w:eastAsia="en-GB"/>
        </w:rPr>
        <w:t xml:space="preserve">you </w:t>
      </w:r>
      <w:proofErr w:type="gramStart"/>
      <w:r w:rsidR="009E5389" w:rsidRPr="00A23544">
        <w:rPr>
          <w:rFonts w:eastAsia="Times New Roman" w:cstheme="minorHAnsi"/>
          <w:color w:val="000000"/>
          <w:lang w:eastAsia="en-GB"/>
        </w:rPr>
        <w:t>understand</w:t>
      </w:r>
      <w:r w:rsidR="00A23544" w:rsidRPr="00A23544">
        <w:rPr>
          <w:rFonts w:eastAsia="Times New Roman" w:cstheme="minorHAnsi"/>
          <w:color w:val="000000"/>
          <w:lang w:eastAsia="en-GB"/>
        </w:rPr>
        <w:t xml:space="preserve">  and</w:t>
      </w:r>
      <w:proofErr w:type="gramEnd"/>
      <w:r w:rsidR="00A23544" w:rsidRPr="00A23544">
        <w:rPr>
          <w:rFonts w:eastAsia="Times New Roman" w:cstheme="minorHAnsi"/>
          <w:color w:val="000000"/>
          <w:lang w:eastAsia="en-GB"/>
        </w:rPr>
        <w:t xml:space="preserve"> cope with breathlessness</w:t>
      </w:r>
      <w:r w:rsidR="00A23544">
        <w:rPr>
          <w:rFonts w:eastAsia="Times New Roman" w:cstheme="minorHAnsi"/>
          <w:color w:val="000000"/>
          <w:lang w:eastAsia="en-GB"/>
        </w:rPr>
        <w:t>.</w:t>
      </w:r>
    </w:p>
    <w:p w14:paraId="7F53E9DE" w14:textId="77777777" w:rsidR="00B56B58" w:rsidRPr="00B56B58" w:rsidRDefault="00B56B58" w:rsidP="00B56B58">
      <w:pPr>
        <w:pStyle w:val="ListParagraph"/>
        <w:numPr>
          <w:ilvl w:val="0"/>
          <w:numId w:val="1"/>
        </w:numPr>
        <w:rPr>
          <w:rFonts w:cstheme="minorHAnsi"/>
        </w:rPr>
      </w:pPr>
      <w:r w:rsidRPr="00B56B58">
        <w:rPr>
          <w:rFonts w:cstheme="minorHAnsi"/>
        </w:rPr>
        <w:t>Consider alternatives to subcutaneous routes by switching early to patches or buccal preparations to ensure symptom control is not affected by availability of staff to given PRN medication or set up syringe drivers</w:t>
      </w:r>
      <w:r>
        <w:rPr>
          <w:rFonts w:cstheme="minorHAnsi"/>
        </w:rPr>
        <w:t>.</w:t>
      </w:r>
    </w:p>
    <w:p w14:paraId="1D1EE4CE" w14:textId="74C7DBD4" w:rsidR="00B56B58" w:rsidRPr="00B56B58" w:rsidRDefault="00B56B58" w:rsidP="00B56B58">
      <w:pPr>
        <w:pStyle w:val="ListParagraph"/>
        <w:numPr>
          <w:ilvl w:val="0"/>
          <w:numId w:val="1"/>
        </w:numPr>
        <w:spacing w:after="0" w:line="240" w:lineRule="auto"/>
        <w:rPr>
          <w:rFonts w:eastAsia="Times New Roman" w:cstheme="minorHAnsi"/>
          <w:color w:val="000000"/>
          <w:lang w:eastAsia="en-GB"/>
        </w:rPr>
      </w:pPr>
      <w:r w:rsidRPr="00B56B58">
        <w:rPr>
          <w:rFonts w:eastAsia="Times New Roman" w:cstheme="minorHAnsi"/>
          <w:color w:val="000000"/>
          <w:lang w:eastAsia="en-GB"/>
        </w:rPr>
        <w:t>Both opioids and benzodiazepines are likely to be sedative. Adequate symptom control in a d</w:t>
      </w:r>
      <w:r>
        <w:rPr>
          <w:rFonts w:eastAsia="Times New Roman" w:cstheme="minorHAnsi"/>
          <w:color w:val="000000"/>
          <w:lang w:eastAsia="en-GB"/>
        </w:rPr>
        <w:t>eteriorating / dying</w:t>
      </w:r>
      <w:r w:rsidRPr="00B56B58">
        <w:rPr>
          <w:rFonts w:eastAsia="Times New Roman" w:cstheme="minorHAnsi"/>
          <w:color w:val="000000"/>
          <w:lang w:eastAsia="en-GB"/>
        </w:rPr>
        <w:t xml:space="preserve"> patient who is significantly hypoxic may result in sedation, such that the patient becomes </w:t>
      </w:r>
      <w:r>
        <w:rPr>
          <w:rFonts w:eastAsia="Times New Roman" w:cstheme="minorHAnsi"/>
          <w:color w:val="000000"/>
          <w:lang w:eastAsia="en-GB"/>
        </w:rPr>
        <w:t xml:space="preserve">drowsy / semi-conscious or </w:t>
      </w:r>
      <w:r w:rsidRPr="00B56B58">
        <w:rPr>
          <w:rFonts w:eastAsia="Times New Roman" w:cstheme="minorHAnsi"/>
          <w:color w:val="000000"/>
          <w:lang w:eastAsia="en-GB"/>
        </w:rPr>
        <w:t xml:space="preserve">unconscious. </w:t>
      </w:r>
      <w:r w:rsidRPr="00B56B58">
        <w:rPr>
          <w:rFonts w:cstheme="minorHAnsi"/>
        </w:rPr>
        <w:t xml:space="preserve">This needs to be carefully communicated in advance to the patient (if appropriate), family and those important to the patient, and </w:t>
      </w:r>
      <w:r>
        <w:rPr>
          <w:rFonts w:cstheme="minorHAnsi"/>
        </w:rPr>
        <w:t>professional carers</w:t>
      </w:r>
      <w:r w:rsidRPr="00B56B58">
        <w:rPr>
          <w:rFonts w:cstheme="minorHAnsi"/>
        </w:rPr>
        <w:t>.</w:t>
      </w:r>
      <w:r>
        <w:rPr>
          <w:rFonts w:cstheme="minorHAnsi"/>
        </w:rPr>
        <w:t xml:space="preserve"> </w:t>
      </w:r>
    </w:p>
    <w:p w14:paraId="2A71EF8C" w14:textId="77777777" w:rsidR="00B56B58" w:rsidRPr="00B56B58" w:rsidRDefault="00B56B58" w:rsidP="00B56B58">
      <w:pPr>
        <w:pStyle w:val="ListParagraph"/>
        <w:numPr>
          <w:ilvl w:val="0"/>
          <w:numId w:val="1"/>
        </w:numPr>
        <w:rPr>
          <w:rFonts w:cstheme="minorHAnsi"/>
        </w:rPr>
      </w:pPr>
      <w:r w:rsidRPr="00B56B58">
        <w:rPr>
          <w:rFonts w:cstheme="minorHAnsi"/>
        </w:rPr>
        <w:t xml:space="preserve">Support </w:t>
      </w:r>
      <w:r>
        <w:rPr>
          <w:rFonts w:cstheme="minorHAnsi"/>
        </w:rPr>
        <w:t>informal</w:t>
      </w:r>
      <w:r w:rsidRPr="00B56B58">
        <w:rPr>
          <w:rFonts w:cstheme="minorHAnsi"/>
        </w:rPr>
        <w:t xml:space="preserve"> carers in becoming confident with administration of oral/buccal/transdermal medications and consider supporting </w:t>
      </w:r>
      <w:r>
        <w:rPr>
          <w:rFonts w:cstheme="minorHAnsi"/>
        </w:rPr>
        <w:t>them</w:t>
      </w:r>
      <w:r w:rsidRPr="00B56B58">
        <w:rPr>
          <w:rFonts w:cstheme="minorHAnsi"/>
        </w:rPr>
        <w:t xml:space="preserve"> in the administration of subcutaneous medication where appropriate (see separate guidance)</w:t>
      </w:r>
    </w:p>
    <w:p w14:paraId="6FFF994F" w14:textId="32493D97" w:rsidR="00B56B58" w:rsidRPr="00B56B58" w:rsidRDefault="00B56B58" w:rsidP="00B56B58">
      <w:pPr>
        <w:pStyle w:val="ListParagraph"/>
        <w:numPr>
          <w:ilvl w:val="0"/>
          <w:numId w:val="1"/>
        </w:numPr>
        <w:rPr>
          <w:rFonts w:cstheme="minorHAnsi"/>
        </w:rPr>
      </w:pPr>
      <w:r w:rsidRPr="00B56B58">
        <w:rPr>
          <w:rFonts w:cstheme="minorHAnsi"/>
        </w:rPr>
        <w:t>All doses are starting doses for opioid naïve patients. Please reduce or use alternatives in renal or liver impairment and titrate up/convert as appropriate for patients already on strong opioids.</w:t>
      </w:r>
      <w:r>
        <w:rPr>
          <w:rFonts w:cstheme="minorHAnsi"/>
        </w:rPr>
        <w:t xml:space="preserve"> Contact your local palliative care team for further advice.</w:t>
      </w:r>
    </w:p>
    <w:p w14:paraId="5D08D96B" w14:textId="25F85022" w:rsidR="00B56B58" w:rsidRPr="00B56B58" w:rsidRDefault="00B56B58" w:rsidP="00B56B58">
      <w:pPr>
        <w:pStyle w:val="ListParagraph"/>
        <w:numPr>
          <w:ilvl w:val="0"/>
          <w:numId w:val="1"/>
        </w:numPr>
        <w:spacing w:after="0" w:line="240" w:lineRule="auto"/>
        <w:rPr>
          <w:rFonts w:eastAsia="Times New Roman" w:cstheme="minorHAnsi"/>
          <w:color w:val="000000"/>
          <w:lang w:eastAsia="en-GB"/>
        </w:rPr>
      </w:pPr>
      <w:r w:rsidRPr="00B56B58">
        <w:rPr>
          <w:rFonts w:eastAsia="Times New Roman" w:cstheme="minorHAnsi"/>
          <w:color w:val="000000"/>
          <w:lang w:eastAsia="en-GB"/>
        </w:rPr>
        <w:t>Vital observations should be stopped and comfort observations used. Oxygen (if it has been part of treatment) may no longer be useful. If of no benefit it can be stopped; many find an oxygen mask difficult to tolerate at this time. </w:t>
      </w:r>
    </w:p>
    <w:p w14:paraId="2F104335" w14:textId="72B1CD86" w:rsidR="00FE6C0B" w:rsidRDefault="009E58C6" w:rsidP="009E58C6">
      <w:pPr>
        <w:tabs>
          <w:tab w:val="left" w:pos="10785"/>
        </w:tabs>
      </w:pPr>
      <w:r>
        <w:tab/>
      </w:r>
    </w:p>
    <w:p w14:paraId="2A267A8D" w14:textId="77777777" w:rsidR="009E58C6" w:rsidRDefault="009E58C6" w:rsidP="009E58C6">
      <w:pPr>
        <w:tabs>
          <w:tab w:val="left" w:pos="10785"/>
        </w:tabs>
      </w:pPr>
    </w:p>
    <w:p w14:paraId="5FDAC153" w14:textId="77777777" w:rsidR="004721EA" w:rsidRDefault="004721EA" w:rsidP="00FE6C0B"/>
    <w:tbl>
      <w:tblPr>
        <w:tblStyle w:val="TableGrid"/>
        <w:tblW w:w="5000" w:type="pct"/>
        <w:tblLook w:val="04A0" w:firstRow="1" w:lastRow="0" w:firstColumn="1" w:lastColumn="0" w:noHBand="0" w:noVBand="1"/>
      </w:tblPr>
      <w:tblGrid>
        <w:gridCol w:w="1576"/>
        <w:gridCol w:w="2036"/>
        <w:gridCol w:w="2385"/>
        <w:gridCol w:w="2081"/>
        <w:gridCol w:w="2363"/>
        <w:gridCol w:w="3507"/>
      </w:tblGrid>
      <w:tr w:rsidR="00B56B58" w:rsidRPr="00C4220F" w14:paraId="799C0BE7" w14:textId="77777777" w:rsidTr="004721EA">
        <w:tc>
          <w:tcPr>
            <w:tcW w:w="565" w:type="pct"/>
            <w:vMerge w:val="restart"/>
          </w:tcPr>
          <w:p w14:paraId="41485FA3" w14:textId="5D3D5202" w:rsidR="00B56B58" w:rsidRPr="00C4220F" w:rsidRDefault="00B56B58" w:rsidP="00FE6C0B">
            <w:pPr>
              <w:pStyle w:val="ListParagraph"/>
              <w:ind w:left="0"/>
              <w:rPr>
                <w:b/>
                <w:sz w:val="18"/>
                <w:szCs w:val="18"/>
              </w:rPr>
            </w:pPr>
            <w:r w:rsidRPr="00C4220F">
              <w:rPr>
                <w:b/>
                <w:sz w:val="18"/>
                <w:szCs w:val="18"/>
              </w:rPr>
              <w:t>Symptom</w:t>
            </w:r>
          </w:p>
        </w:tc>
        <w:tc>
          <w:tcPr>
            <w:tcW w:w="730" w:type="pct"/>
            <w:vMerge w:val="restart"/>
          </w:tcPr>
          <w:p w14:paraId="1089CBB5" w14:textId="6F660B9D" w:rsidR="00B56B58" w:rsidRPr="00C4220F" w:rsidRDefault="00B56B58" w:rsidP="00FE6C0B">
            <w:pPr>
              <w:pStyle w:val="ListParagraph"/>
              <w:ind w:left="0"/>
              <w:rPr>
                <w:b/>
                <w:sz w:val="18"/>
                <w:szCs w:val="18"/>
              </w:rPr>
            </w:pPr>
            <w:r w:rsidRPr="00C4220F">
              <w:rPr>
                <w:b/>
                <w:sz w:val="18"/>
                <w:szCs w:val="18"/>
              </w:rPr>
              <w:t>Non-pharmacological approaches</w:t>
            </w:r>
          </w:p>
        </w:tc>
        <w:tc>
          <w:tcPr>
            <w:tcW w:w="3705" w:type="pct"/>
            <w:gridSpan w:val="4"/>
          </w:tcPr>
          <w:p w14:paraId="3BB0683F" w14:textId="52BD9414" w:rsidR="00B56B58" w:rsidRPr="00C4220F" w:rsidRDefault="00B56B58" w:rsidP="00B56B58">
            <w:pPr>
              <w:pStyle w:val="ListParagraph"/>
              <w:ind w:left="0"/>
              <w:jc w:val="center"/>
              <w:rPr>
                <w:b/>
                <w:sz w:val="18"/>
                <w:szCs w:val="18"/>
              </w:rPr>
            </w:pPr>
            <w:r w:rsidRPr="00C4220F">
              <w:rPr>
                <w:b/>
                <w:sz w:val="18"/>
                <w:szCs w:val="18"/>
              </w:rPr>
              <w:t>Starting doses in opioid naïve patients</w:t>
            </w:r>
          </w:p>
        </w:tc>
      </w:tr>
      <w:tr w:rsidR="00B56B58" w:rsidRPr="00C4220F" w14:paraId="77D00ACF" w14:textId="77777777" w:rsidTr="00A23544">
        <w:tc>
          <w:tcPr>
            <w:tcW w:w="565" w:type="pct"/>
            <w:vMerge/>
          </w:tcPr>
          <w:p w14:paraId="1DEF119C" w14:textId="4A20893A" w:rsidR="00B56B58" w:rsidRPr="00C4220F" w:rsidRDefault="00B56B58" w:rsidP="00FE6C0B">
            <w:pPr>
              <w:pStyle w:val="ListParagraph"/>
              <w:ind w:left="0"/>
              <w:rPr>
                <w:b/>
                <w:sz w:val="18"/>
                <w:szCs w:val="18"/>
              </w:rPr>
            </w:pPr>
          </w:p>
        </w:tc>
        <w:tc>
          <w:tcPr>
            <w:tcW w:w="730" w:type="pct"/>
            <w:vMerge/>
          </w:tcPr>
          <w:p w14:paraId="778360D7" w14:textId="1A70AB3D" w:rsidR="00B56B58" w:rsidRPr="00C4220F" w:rsidRDefault="00B56B58" w:rsidP="00FE6C0B">
            <w:pPr>
              <w:pStyle w:val="ListParagraph"/>
              <w:ind w:left="0"/>
              <w:rPr>
                <w:b/>
                <w:sz w:val="18"/>
                <w:szCs w:val="18"/>
              </w:rPr>
            </w:pPr>
          </w:p>
        </w:tc>
        <w:tc>
          <w:tcPr>
            <w:tcW w:w="855" w:type="pct"/>
          </w:tcPr>
          <w:p w14:paraId="062709C7" w14:textId="63BB3E30" w:rsidR="00B56B58" w:rsidRPr="00C4220F" w:rsidRDefault="00B56B58" w:rsidP="00FE6C0B">
            <w:pPr>
              <w:pStyle w:val="ListParagraph"/>
              <w:ind w:left="0"/>
              <w:rPr>
                <w:b/>
                <w:sz w:val="18"/>
                <w:szCs w:val="18"/>
              </w:rPr>
            </w:pPr>
            <w:r w:rsidRPr="00C4220F">
              <w:rPr>
                <w:b/>
                <w:sz w:val="18"/>
                <w:szCs w:val="18"/>
              </w:rPr>
              <w:t xml:space="preserve">Oral route </w:t>
            </w:r>
          </w:p>
        </w:tc>
        <w:tc>
          <w:tcPr>
            <w:tcW w:w="746" w:type="pct"/>
          </w:tcPr>
          <w:p w14:paraId="22AEB98A" w14:textId="77777777" w:rsidR="00B56B58" w:rsidRPr="00C4220F" w:rsidRDefault="00B56B58" w:rsidP="00FE6C0B">
            <w:pPr>
              <w:pStyle w:val="ListParagraph"/>
              <w:ind w:left="0"/>
              <w:rPr>
                <w:b/>
                <w:sz w:val="18"/>
                <w:szCs w:val="18"/>
              </w:rPr>
            </w:pPr>
            <w:r w:rsidRPr="00C4220F">
              <w:rPr>
                <w:b/>
                <w:sz w:val="18"/>
                <w:szCs w:val="18"/>
              </w:rPr>
              <w:t>Subcutaneous route</w:t>
            </w:r>
          </w:p>
        </w:tc>
        <w:tc>
          <w:tcPr>
            <w:tcW w:w="847" w:type="pct"/>
          </w:tcPr>
          <w:p w14:paraId="241096FC" w14:textId="77777777" w:rsidR="00B56B58" w:rsidRPr="00C4220F" w:rsidRDefault="00B56B58" w:rsidP="00FE6C0B">
            <w:pPr>
              <w:pStyle w:val="ListParagraph"/>
              <w:ind w:left="0"/>
              <w:rPr>
                <w:b/>
                <w:sz w:val="18"/>
                <w:szCs w:val="18"/>
              </w:rPr>
            </w:pPr>
            <w:r w:rsidRPr="00C4220F">
              <w:rPr>
                <w:b/>
                <w:sz w:val="18"/>
                <w:szCs w:val="18"/>
              </w:rPr>
              <w:t>Syringe driver doses</w:t>
            </w:r>
          </w:p>
        </w:tc>
        <w:tc>
          <w:tcPr>
            <w:tcW w:w="1257" w:type="pct"/>
          </w:tcPr>
          <w:p w14:paraId="2B7D0FB3" w14:textId="602C2376" w:rsidR="00B56B58" w:rsidRPr="00C4220F" w:rsidRDefault="00B56B58" w:rsidP="00FE6C0B">
            <w:pPr>
              <w:pStyle w:val="ListParagraph"/>
              <w:ind w:left="0"/>
              <w:rPr>
                <w:b/>
                <w:sz w:val="18"/>
                <w:szCs w:val="18"/>
              </w:rPr>
            </w:pPr>
            <w:r w:rsidRPr="00C4220F">
              <w:rPr>
                <w:b/>
                <w:sz w:val="18"/>
                <w:szCs w:val="18"/>
              </w:rPr>
              <w:t>Medications via alternative routes</w:t>
            </w:r>
          </w:p>
        </w:tc>
      </w:tr>
      <w:tr w:rsidR="001D4E8E" w:rsidRPr="00C4220F" w14:paraId="2DBB2775" w14:textId="77777777" w:rsidTr="00A23544">
        <w:tc>
          <w:tcPr>
            <w:tcW w:w="565" w:type="pct"/>
          </w:tcPr>
          <w:p w14:paraId="033B9DAA" w14:textId="77777777" w:rsidR="00FE6C0B" w:rsidRPr="00C4220F" w:rsidRDefault="00FE6C0B" w:rsidP="00FE6C0B">
            <w:pPr>
              <w:pStyle w:val="ListParagraph"/>
              <w:ind w:left="0"/>
              <w:rPr>
                <w:b/>
                <w:sz w:val="18"/>
                <w:szCs w:val="18"/>
              </w:rPr>
            </w:pPr>
            <w:r w:rsidRPr="00C4220F">
              <w:rPr>
                <w:b/>
                <w:sz w:val="18"/>
                <w:szCs w:val="18"/>
              </w:rPr>
              <w:t>Breathlessness</w:t>
            </w:r>
          </w:p>
        </w:tc>
        <w:tc>
          <w:tcPr>
            <w:tcW w:w="730" w:type="pct"/>
          </w:tcPr>
          <w:p w14:paraId="108ABF26" w14:textId="77777777" w:rsidR="001D4E8E" w:rsidRPr="00C4220F" w:rsidRDefault="001D4E8E" w:rsidP="00E97CC2">
            <w:pPr>
              <w:pStyle w:val="ListParagraph"/>
              <w:ind w:left="0"/>
              <w:rPr>
                <w:sz w:val="18"/>
                <w:szCs w:val="18"/>
              </w:rPr>
            </w:pPr>
            <w:r w:rsidRPr="00C4220F">
              <w:rPr>
                <w:sz w:val="18"/>
                <w:szCs w:val="18"/>
              </w:rPr>
              <w:t>Cool flannel around the face and nose</w:t>
            </w:r>
          </w:p>
          <w:p w14:paraId="35D3D552" w14:textId="77777777" w:rsidR="001D4E8E" w:rsidRPr="00C4220F" w:rsidRDefault="001D4E8E" w:rsidP="00E97CC2">
            <w:pPr>
              <w:pStyle w:val="ListParagraph"/>
              <w:ind w:left="0"/>
              <w:rPr>
                <w:sz w:val="18"/>
                <w:szCs w:val="18"/>
              </w:rPr>
            </w:pPr>
          </w:p>
          <w:p w14:paraId="28129468" w14:textId="77777777" w:rsidR="001D4E8E" w:rsidRPr="00C4220F" w:rsidRDefault="001D4E8E" w:rsidP="00E97CC2">
            <w:pPr>
              <w:pStyle w:val="ListParagraph"/>
              <w:ind w:left="0"/>
              <w:rPr>
                <w:sz w:val="18"/>
                <w:szCs w:val="18"/>
              </w:rPr>
            </w:pPr>
            <w:r w:rsidRPr="00C4220F">
              <w:rPr>
                <w:sz w:val="18"/>
                <w:szCs w:val="18"/>
              </w:rPr>
              <w:t>Draught from an open window</w:t>
            </w:r>
          </w:p>
          <w:p w14:paraId="423E20F1" w14:textId="77777777" w:rsidR="004721EA" w:rsidRPr="00C4220F" w:rsidRDefault="004721EA" w:rsidP="00E97CC2">
            <w:pPr>
              <w:pStyle w:val="ListParagraph"/>
              <w:ind w:left="0"/>
              <w:rPr>
                <w:sz w:val="18"/>
                <w:szCs w:val="18"/>
              </w:rPr>
            </w:pPr>
          </w:p>
          <w:p w14:paraId="6482881A" w14:textId="77777777" w:rsidR="004721EA" w:rsidRPr="00C4220F" w:rsidRDefault="004721EA" w:rsidP="004721EA">
            <w:pPr>
              <w:pStyle w:val="ListParagraph"/>
              <w:ind w:left="0"/>
              <w:rPr>
                <w:sz w:val="18"/>
                <w:szCs w:val="18"/>
              </w:rPr>
            </w:pPr>
            <w:r w:rsidRPr="00C4220F">
              <w:rPr>
                <w:b/>
                <w:bCs/>
                <w:sz w:val="18"/>
                <w:szCs w:val="18"/>
              </w:rPr>
              <w:t>NB:</w:t>
            </w:r>
            <w:r w:rsidRPr="00C4220F">
              <w:rPr>
                <w:sz w:val="18"/>
                <w:szCs w:val="18"/>
              </w:rPr>
              <w:t xml:space="preserve"> Fan therapy is </w:t>
            </w:r>
            <w:r w:rsidRPr="00C4220F">
              <w:rPr>
                <w:i/>
                <w:iCs/>
                <w:sz w:val="18"/>
                <w:szCs w:val="18"/>
              </w:rPr>
              <w:t xml:space="preserve">not </w:t>
            </w:r>
            <w:r w:rsidRPr="00C4220F">
              <w:rPr>
                <w:sz w:val="18"/>
                <w:szCs w:val="18"/>
              </w:rPr>
              <w:t>advised due to infection control risks for others</w:t>
            </w:r>
          </w:p>
          <w:p w14:paraId="1AAB6D54" w14:textId="6BD41532" w:rsidR="004721EA" w:rsidRPr="00C4220F" w:rsidRDefault="004721EA" w:rsidP="00E97CC2">
            <w:pPr>
              <w:pStyle w:val="ListParagraph"/>
              <w:ind w:left="0"/>
              <w:rPr>
                <w:sz w:val="18"/>
                <w:szCs w:val="18"/>
              </w:rPr>
            </w:pPr>
          </w:p>
        </w:tc>
        <w:tc>
          <w:tcPr>
            <w:tcW w:w="855" w:type="pct"/>
          </w:tcPr>
          <w:p w14:paraId="08FEE84B" w14:textId="7769690C" w:rsidR="001D4E8E" w:rsidRPr="00C4220F" w:rsidRDefault="001D4E8E" w:rsidP="001D4E8E">
            <w:pPr>
              <w:pStyle w:val="ListParagraph"/>
              <w:ind w:left="0"/>
              <w:rPr>
                <w:sz w:val="18"/>
                <w:szCs w:val="18"/>
              </w:rPr>
            </w:pPr>
            <w:r w:rsidRPr="00C4220F">
              <w:rPr>
                <w:sz w:val="18"/>
                <w:szCs w:val="18"/>
              </w:rPr>
              <w:t>Morphine sulphate immediate release 1-2</w:t>
            </w:r>
            <w:r w:rsidR="00E97CC2" w:rsidRPr="00C4220F">
              <w:rPr>
                <w:sz w:val="18"/>
                <w:szCs w:val="18"/>
              </w:rPr>
              <w:t>mg PO PRN hourly</w:t>
            </w:r>
            <w:r w:rsidRPr="00C4220F">
              <w:rPr>
                <w:sz w:val="18"/>
                <w:szCs w:val="18"/>
              </w:rPr>
              <w:t xml:space="preserve"> </w:t>
            </w:r>
            <w:r w:rsidR="00B56B58" w:rsidRPr="00C4220F">
              <w:rPr>
                <w:sz w:val="18"/>
                <w:szCs w:val="18"/>
              </w:rPr>
              <w:t>and titrate to response</w:t>
            </w:r>
          </w:p>
          <w:p w14:paraId="57F2B961" w14:textId="65152641" w:rsidR="001D4E8E" w:rsidRPr="00C4220F" w:rsidRDefault="001D4E8E" w:rsidP="001D4E8E">
            <w:pPr>
              <w:pStyle w:val="ListParagraph"/>
              <w:ind w:left="0"/>
              <w:rPr>
                <w:sz w:val="18"/>
                <w:szCs w:val="18"/>
              </w:rPr>
            </w:pPr>
            <w:r w:rsidRPr="00C4220F">
              <w:rPr>
                <w:sz w:val="18"/>
                <w:szCs w:val="18"/>
              </w:rPr>
              <w:t>or</w:t>
            </w:r>
          </w:p>
          <w:p w14:paraId="77B8C2B2" w14:textId="77777777" w:rsidR="001D4E8E" w:rsidRPr="00C4220F" w:rsidRDefault="001D4E8E" w:rsidP="001D4E8E">
            <w:pPr>
              <w:pStyle w:val="ListParagraph"/>
              <w:ind w:left="0"/>
              <w:rPr>
                <w:sz w:val="18"/>
                <w:szCs w:val="18"/>
              </w:rPr>
            </w:pPr>
            <w:r w:rsidRPr="00C4220F">
              <w:rPr>
                <w:sz w:val="18"/>
                <w:szCs w:val="18"/>
              </w:rPr>
              <w:t xml:space="preserve">Morphine sulphate modified release 5mg PO BD </w:t>
            </w:r>
            <w:r w:rsidR="00B56B58" w:rsidRPr="00C4220F">
              <w:rPr>
                <w:sz w:val="18"/>
                <w:szCs w:val="18"/>
              </w:rPr>
              <w:t xml:space="preserve">and titrate to response </w:t>
            </w:r>
          </w:p>
          <w:p w14:paraId="02A3363A" w14:textId="77777777" w:rsidR="00B56B58" w:rsidRPr="00C4220F" w:rsidRDefault="00B56B58" w:rsidP="001D4E8E">
            <w:pPr>
              <w:pStyle w:val="ListParagraph"/>
              <w:ind w:left="0"/>
              <w:rPr>
                <w:sz w:val="18"/>
                <w:szCs w:val="18"/>
              </w:rPr>
            </w:pPr>
          </w:p>
          <w:p w14:paraId="298D7D1B" w14:textId="250E8DFF" w:rsidR="00B56B58" w:rsidRPr="00C4220F" w:rsidRDefault="00B56B58" w:rsidP="001D4E8E">
            <w:pPr>
              <w:pStyle w:val="ListParagraph"/>
              <w:ind w:left="0"/>
              <w:rPr>
                <w:sz w:val="18"/>
                <w:szCs w:val="18"/>
              </w:rPr>
            </w:pPr>
            <w:r w:rsidRPr="00C4220F">
              <w:rPr>
                <w:sz w:val="18"/>
                <w:szCs w:val="18"/>
              </w:rPr>
              <w:t>In renal failure,</w:t>
            </w:r>
          </w:p>
          <w:p w14:paraId="15BEB228" w14:textId="21396AFA" w:rsidR="00B56B58" w:rsidRPr="00C4220F" w:rsidRDefault="00B56B58" w:rsidP="001D4E8E">
            <w:pPr>
              <w:pStyle w:val="ListParagraph"/>
              <w:ind w:left="0"/>
              <w:rPr>
                <w:sz w:val="18"/>
                <w:szCs w:val="18"/>
              </w:rPr>
            </w:pPr>
            <w:r w:rsidRPr="00C4220F">
              <w:rPr>
                <w:sz w:val="18"/>
                <w:szCs w:val="18"/>
              </w:rPr>
              <w:t xml:space="preserve">consider Oxycodone – seek advice from Palliative Care </w:t>
            </w:r>
          </w:p>
        </w:tc>
        <w:tc>
          <w:tcPr>
            <w:tcW w:w="746" w:type="pct"/>
          </w:tcPr>
          <w:p w14:paraId="4FC55BEE" w14:textId="38512FCE" w:rsidR="00FE6C0B" w:rsidRPr="00C4220F" w:rsidRDefault="00E97CC2" w:rsidP="00FE6C0B">
            <w:pPr>
              <w:pStyle w:val="ListParagraph"/>
              <w:ind w:left="0"/>
              <w:rPr>
                <w:sz w:val="18"/>
                <w:szCs w:val="18"/>
              </w:rPr>
            </w:pPr>
            <w:r w:rsidRPr="00C4220F">
              <w:rPr>
                <w:sz w:val="18"/>
                <w:szCs w:val="18"/>
              </w:rPr>
              <w:t>Morphine sulphate 1-2mg SC PRN hourly</w:t>
            </w:r>
            <w:r w:rsidR="00B56B58" w:rsidRPr="00C4220F">
              <w:rPr>
                <w:sz w:val="18"/>
                <w:szCs w:val="18"/>
              </w:rPr>
              <w:t xml:space="preserve"> and titrate to response</w:t>
            </w:r>
            <w:r w:rsidR="001D4E8E" w:rsidRPr="00C4220F">
              <w:rPr>
                <w:sz w:val="18"/>
                <w:szCs w:val="18"/>
              </w:rPr>
              <w:t xml:space="preserve"> </w:t>
            </w:r>
          </w:p>
          <w:p w14:paraId="6164AA87" w14:textId="77777777" w:rsidR="00E97CC2" w:rsidRPr="00C4220F" w:rsidRDefault="00E97CC2" w:rsidP="00FE6C0B">
            <w:pPr>
              <w:pStyle w:val="ListParagraph"/>
              <w:ind w:left="0"/>
              <w:rPr>
                <w:sz w:val="18"/>
                <w:szCs w:val="18"/>
              </w:rPr>
            </w:pPr>
          </w:p>
          <w:p w14:paraId="6DEEDA8D" w14:textId="77777777" w:rsidR="001D4E8E" w:rsidRPr="00C4220F" w:rsidRDefault="001D4E8E" w:rsidP="00FE6C0B">
            <w:pPr>
              <w:pStyle w:val="ListParagraph"/>
              <w:ind w:left="0"/>
              <w:rPr>
                <w:sz w:val="18"/>
                <w:szCs w:val="18"/>
              </w:rPr>
            </w:pPr>
          </w:p>
          <w:p w14:paraId="7F43476F" w14:textId="77777777" w:rsidR="001D4E8E" w:rsidRPr="00C4220F" w:rsidRDefault="001D4E8E" w:rsidP="00FE6C0B">
            <w:pPr>
              <w:pStyle w:val="ListParagraph"/>
              <w:ind w:left="0"/>
              <w:rPr>
                <w:sz w:val="18"/>
                <w:szCs w:val="18"/>
              </w:rPr>
            </w:pPr>
          </w:p>
          <w:p w14:paraId="53186309" w14:textId="1557DD50" w:rsidR="001D4E8E" w:rsidRPr="00C4220F" w:rsidRDefault="001D4E8E" w:rsidP="00FE6C0B">
            <w:pPr>
              <w:pStyle w:val="ListParagraph"/>
              <w:ind w:left="0"/>
              <w:rPr>
                <w:sz w:val="18"/>
                <w:szCs w:val="18"/>
              </w:rPr>
            </w:pPr>
            <w:r w:rsidRPr="00C4220F">
              <w:rPr>
                <w:sz w:val="18"/>
                <w:szCs w:val="18"/>
              </w:rPr>
              <w:t>I</w:t>
            </w:r>
            <w:r w:rsidR="00B56B58" w:rsidRPr="00C4220F">
              <w:rPr>
                <w:sz w:val="18"/>
                <w:szCs w:val="18"/>
              </w:rPr>
              <w:t xml:space="preserve">n. renal failure, </w:t>
            </w:r>
            <w:r w:rsidRPr="00C4220F">
              <w:rPr>
                <w:sz w:val="18"/>
                <w:szCs w:val="18"/>
              </w:rPr>
              <w:t xml:space="preserve">consider </w:t>
            </w:r>
            <w:r w:rsidR="00B56B58" w:rsidRPr="00C4220F">
              <w:rPr>
                <w:sz w:val="18"/>
                <w:szCs w:val="18"/>
              </w:rPr>
              <w:t>Oxycodone – seek advice from Palliative Care</w:t>
            </w:r>
          </w:p>
        </w:tc>
        <w:tc>
          <w:tcPr>
            <w:tcW w:w="847" w:type="pct"/>
          </w:tcPr>
          <w:p w14:paraId="699C37E5" w14:textId="77777777" w:rsidR="00FE6C0B" w:rsidRPr="00C4220F" w:rsidRDefault="001D4E8E" w:rsidP="00FE6C0B">
            <w:pPr>
              <w:pStyle w:val="ListParagraph"/>
              <w:ind w:left="0"/>
              <w:rPr>
                <w:sz w:val="18"/>
                <w:szCs w:val="18"/>
              </w:rPr>
            </w:pPr>
            <w:r w:rsidRPr="00C4220F">
              <w:rPr>
                <w:sz w:val="18"/>
                <w:szCs w:val="18"/>
              </w:rPr>
              <w:t>Morphine sulphate 10mg/24 hours and titrate according to response</w:t>
            </w:r>
          </w:p>
          <w:p w14:paraId="29192E0D" w14:textId="77777777" w:rsidR="001D4E8E" w:rsidRPr="00C4220F" w:rsidRDefault="001D4E8E" w:rsidP="00FE6C0B">
            <w:pPr>
              <w:pStyle w:val="ListParagraph"/>
              <w:ind w:left="0"/>
              <w:rPr>
                <w:sz w:val="18"/>
                <w:szCs w:val="18"/>
              </w:rPr>
            </w:pPr>
          </w:p>
          <w:p w14:paraId="460864BD" w14:textId="15657F4F" w:rsidR="001D4E8E" w:rsidRPr="00C4220F" w:rsidRDefault="00B56B58" w:rsidP="001D4E8E">
            <w:pPr>
              <w:pStyle w:val="ListParagraph"/>
              <w:ind w:left="0"/>
              <w:rPr>
                <w:sz w:val="18"/>
                <w:szCs w:val="18"/>
              </w:rPr>
            </w:pPr>
            <w:r w:rsidRPr="00C4220F">
              <w:rPr>
                <w:sz w:val="18"/>
                <w:szCs w:val="18"/>
              </w:rPr>
              <w:t xml:space="preserve">In renal failure, </w:t>
            </w:r>
            <w:r w:rsidR="001D4E8E" w:rsidRPr="00C4220F">
              <w:rPr>
                <w:sz w:val="18"/>
                <w:szCs w:val="18"/>
              </w:rPr>
              <w:t>consider ha</w:t>
            </w:r>
            <w:r w:rsidR="00494202" w:rsidRPr="00C4220F">
              <w:rPr>
                <w:sz w:val="18"/>
                <w:szCs w:val="18"/>
              </w:rPr>
              <w:t xml:space="preserve">lving dose or </w:t>
            </w:r>
            <w:r w:rsidRPr="00C4220F">
              <w:rPr>
                <w:sz w:val="18"/>
                <w:szCs w:val="18"/>
              </w:rPr>
              <w:t>oxycodone – seek advice from Palliative Care</w:t>
            </w:r>
          </w:p>
        </w:tc>
        <w:tc>
          <w:tcPr>
            <w:tcW w:w="1257" w:type="pct"/>
          </w:tcPr>
          <w:p w14:paraId="274A0AD6" w14:textId="060BB5FB" w:rsidR="001D4E8E" w:rsidRPr="00C4220F" w:rsidRDefault="00E97CC2" w:rsidP="00FE6C0B">
            <w:pPr>
              <w:pStyle w:val="ListParagraph"/>
              <w:ind w:left="0"/>
              <w:rPr>
                <w:sz w:val="18"/>
                <w:szCs w:val="18"/>
              </w:rPr>
            </w:pPr>
            <w:r w:rsidRPr="00C4220F">
              <w:rPr>
                <w:sz w:val="18"/>
                <w:szCs w:val="18"/>
              </w:rPr>
              <w:t>Buprenorphine transdermal patches starting at 5-10mcg/hr every 7 days</w:t>
            </w:r>
          </w:p>
          <w:p w14:paraId="07BE8B55" w14:textId="77777777" w:rsidR="00E97CC2" w:rsidRPr="00C4220F" w:rsidRDefault="00E97CC2" w:rsidP="00B56B58">
            <w:pPr>
              <w:rPr>
                <w:iCs/>
                <w:sz w:val="18"/>
                <w:szCs w:val="18"/>
              </w:rPr>
            </w:pPr>
          </w:p>
          <w:p w14:paraId="282C1CCC" w14:textId="77777777" w:rsidR="00B56B58" w:rsidRPr="00C4220F" w:rsidRDefault="00B56B58" w:rsidP="00B56B58">
            <w:pPr>
              <w:rPr>
                <w:sz w:val="18"/>
                <w:szCs w:val="18"/>
              </w:rPr>
            </w:pPr>
            <w:r w:rsidRPr="00C4220F">
              <w:rPr>
                <w:sz w:val="18"/>
                <w:szCs w:val="18"/>
              </w:rPr>
              <w:t>Concentrated oral morphine solution (20mg/ml) at dose of 2.5-5mg (0.125-0.25mls) administered buccally (draw up in syringe then inject into side of mouth and rub cheek to enable absorption).</w:t>
            </w:r>
          </w:p>
          <w:p w14:paraId="3F5975A2" w14:textId="77777777" w:rsidR="00C4220F" w:rsidRPr="00C4220F" w:rsidRDefault="00C4220F" w:rsidP="00B56B58">
            <w:pPr>
              <w:rPr>
                <w:sz w:val="18"/>
                <w:szCs w:val="18"/>
              </w:rPr>
            </w:pPr>
          </w:p>
          <w:p w14:paraId="4643AFC6" w14:textId="48BAD216" w:rsidR="00C4220F" w:rsidRPr="00C4220F" w:rsidRDefault="00C4220F" w:rsidP="00B56B58">
            <w:pPr>
              <w:rPr>
                <w:iCs/>
                <w:sz w:val="18"/>
                <w:szCs w:val="18"/>
              </w:rPr>
            </w:pPr>
            <w:r w:rsidRPr="00C4220F">
              <w:rPr>
                <w:sz w:val="18"/>
                <w:szCs w:val="18"/>
              </w:rPr>
              <w:t>Seek advice from palliative care team</w:t>
            </w:r>
          </w:p>
        </w:tc>
      </w:tr>
      <w:tr w:rsidR="001D4E8E" w:rsidRPr="00C4220F" w14:paraId="3C74D756" w14:textId="77777777" w:rsidTr="00A23544">
        <w:tc>
          <w:tcPr>
            <w:tcW w:w="565" w:type="pct"/>
          </w:tcPr>
          <w:p w14:paraId="0F93C0BD" w14:textId="327082D6" w:rsidR="00FE6C0B" w:rsidRPr="00C4220F" w:rsidRDefault="00FE6C0B" w:rsidP="00FE6C0B">
            <w:pPr>
              <w:pStyle w:val="ListParagraph"/>
              <w:ind w:left="0"/>
              <w:rPr>
                <w:b/>
                <w:sz w:val="18"/>
                <w:szCs w:val="18"/>
              </w:rPr>
            </w:pPr>
            <w:r w:rsidRPr="00C4220F">
              <w:rPr>
                <w:b/>
                <w:sz w:val="18"/>
                <w:szCs w:val="18"/>
              </w:rPr>
              <w:t>Agitation</w:t>
            </w:r>
            <w:r w:rsidR="00B56B58" w:rsidRPr="00C4220F">
              <w:rPr>
                <w:b/>
                <w:sz w:val="18"/>
                <w:szCs w:val="18"/>
              </w:rPr>
              <w:t xml:space="preserve"> / anxiety </w:t>
            </w:r>
            <w:r w:rsidR="004721EA" w:rsidRPr="00C4220F">
              <w:rPr>
                <w:b/>
                <w:sz w:val="18"/>
                <w:szCs w:val="18"/>
              </w:rPr>
              <w:t>– likely to be contributing to breathlessness</w:t>
            </w:r>
          </w:p>
        </w:tc>
        <w:tc>
          <w:tcPr>
            <w:tcW w:w="730" w:type="pct"/>
          </w:tcPr>
          <w:p w14:paraId="3255D9EB" w14:textId="77777777" w:rsidR="00FE6C0B" w:rsidRPr="00C4220F" w:rsidRDefault="00FE6C0B" w:rsidP="00FE6C0B">
            <w:pPr>
              <w:pStyle w:val="ListParagraph"/>
              <w:ind w:left="0"/>
              <w:rPr>
                <w:sz w:val="18"/>
                <w:szCs w:val="18"/>
              </w:rPr>
            </w:pPr>
          </w:p>
          <w:p w14:paraId="1D822B15" w14:textId="77777777" w:rsidR="00FE6C0B" w:rsidRPr="00C4220F" w:rsidRDefault="00B56B58" w:rsidP="00FE6C0B">
            <w:pPr>
              <w:pStyle w:val="ListParagraph"/>
              <w:ind w:left="0"/>
              <w:rPr>
                <w:sz w:val="18"/>
                <w:szCs w:val="18"/>
              </w:rPr>
            </w:pPr>
            <w:r w:rsidRPr="00C4220F">
              <w:rPr>
                <w:sz w:val="18"/>
                <w:szCs w:val="18"/>
              </w:rPr>
              <w:t xml:space="preserve">See above </w:t>
            </w:r>
          </w:p>
          <w:p w14:paraId="27C429E6" w14:textId="77777777" w:rsidR="00B56B58" w:rsidRPr="00C4220F" w:rsidRDefault="00B56B58" w:rsidP="00FE6C0B">
            <w:pPr>
              <w:pStyle w:val="ListParagraph"/>
              <w:ind w:left="0"/>
              <w:rPr>
                <w:sz w:val="18"/>
                <w:szCs w:val="18"/>
              </w:rPr>
            </w:pPr>
          </w:p>
          <w:p w14:paraId="2295DC3F" w14:textId="0993D6AA" w:rsidR="00B56B58" w:rsidRPr="00C4220F" w:rsidRDefault="00B56B58" w:rsidP="00FE6C0B">
            <w:pPr>
              <w:pStyle w:val="ListParagraph"/>
              <w:ind w:left="0"/>
              <w:rPr>
                <w:sz w:val="18"/>
                <w:szCs w:val="18"/>
              </w:rPr>
            </w:pPr>
            <w:r w:rsidRPr="00C4220F">
              <w:rPr>
                <w:sz w:val="18"/>
                <w:szCs w:val="18"/>
              </w:rPr>
              <w:t>Consider relaxation CDs, breathing exercises (extend ‘out’ breath) etc</w:t>
            </w:r>
          </w:p>
        </w:tc>
        <w:tc>
          <w:tcPr>
            <w:tcW w:w="855" w:type="pct"/>
          </w:tcPr>
          <w:p w14:paraId="6A2F287D" w14:textId="0927883D" w:rsidR="00FE6C0B" w:rsidRPr="00C4220F" w:rsidRDefault="00C4220F" w:rsidP="00FE6C0B">
            <w:pPr>
              <w:pStyle w:val="ListParagraph"/>
              <w:ind w:left="0"/>
              <w:rPr>
                <w:sz w:val="18"/>
                <w:szCs w:val="18"/>
              </w:rPr>
            </w:pPr>
            <w:r w:rsidRPr="00C4220F">
              <w:rPr>
                <w:sz w:val="18"/>
                <w:szCs w:val="18"/>
              </w:rPr>
              <w:t>Lorazepam 500mcg</w:t>
            </w:r>
            <w:r w:rsidR="001D4E8E" w:rsidRPr="00C4220F">
              <w:rPr>
                <w:sz w:val="18"/>
                <w:szCs w:val="18"/>
              </w:rPr>
              <w:t>-1mg sublingually</w:t>
            </w:r>
            <w:r w:rsidR="00B56B58" w:rsidRPr="00C4220F">
              <w:rPr>
                <w:sz w:val="18"/>
                <w:szCs w:val="18"/>
              </w:rPr>
              <w:t xml:space="preserve"> QDS</w:t>
            </w:r>
          </w:p>
        </w:tc>
        <w:tc>
          <w:tcPr>
            <w:tcW w:w="746" w:type="pct"/>
          </w:tcPr>
          <w:p w14:paraId="2E3127D1" w14:textId="77777777" w:rsidR="00FE6C0B" w:rsidRPr="00C4220F" w:rsidRDefault="001D4E8E" w:rsidP="00FE6C0B">
            <w:pPr>
              <w:pStyle w:val="ListParagraph"/>
              <w:ind w:left="0"/>
              <w:rPr>
                <w:sz w:val="18"/>
                <w:szCs w:val="18"/>
              </w:rPr>
            </w:pPr>
            <w:r w:rsidRPr="00C4220F">
              <w:rPr>
                <w:sz w:val="18"/>
                <w:szCs w:val="18"/>
              </w:rPr>
              <w:t>Midazolam 2.5-5mg SC PRN hourly</w:t>
            </w:r>
          </w:p>
        </w:tc>
        <w:tc>
          <w:tcPr>
            <w:tcW w:w="847" w:type="pct"/>
          </w:tcPr>
          <w:p w14:paraId="2ED13FB0" w14:textId="77777777" w:rsidR="00FE6C0B" w:rsidRPr="00C4220F" w:rsidRDefault="001D4E8E" w:rsidP="00FE6C0B">
            <w:pPr>
              <w:pStyle w:val="ListParagraph"/>
              <w:ind w:left="0"/>
              <w:rPr>
                <w:sz w:val="18"/>
                <w:szCs w:val="18"/>
              </w:rPr>
            </w:pPr>
            <w:r w:rsidRPr="00C4220F">
              <w:rPr>
                <w:sz w:val="18"/>
                <w:szCs w:val="18"/>
              </w:rPr>
              <w:t>Midazolam 10mg/24 hours and titrate according to response</w:t>
            </w:r>
          </w:p>
          <w:p w14:paraId="2C8516B5" w14:textId="77777777" w:rsidR="001D4E8E" w:rsidRPr="00C4220F" w:rsidRDefault="001D4E8E" w:rsidP="00FE6C0B">
            <w:pPr>
              <w:pStyle w:val="ListParagraph"/>
              <w:ind w:left="0"/>
              <w:rPr>
                <w:sz w:val="18"/>
                <w:szCs w:val="18"/>
              </w:rPr>
            </w:pPr>
          </w:p>
          <w:p w14:paraId="08C4FA72" w14:textId="77777777" w:rsidR="001D4E8E" w:rsidRPr="00C4220F" w:rsidRDefault="001D4E8E" w:rsidP="00FE6C0B">
            <w:pPr>
              <w:pStyle w:val="ListParagraph"/>
              <w:ind w:left="0"/>
              <w:rPr>
                <w:sz w:val="18"/>
                <w:szCs w:val="18"/>
              </w:rPr>
            </w:pPr>
            <w:r w:rsidRPr="00C4220F">
              <w:rPr>
                <w:sz w:val="18"/>
                <w:szCs w:val="18"/>
              </w:rPr>
              <w:t>(reduce to 5mg/24 hours if eGFR &lt;30)</w:t>
            </w:r>
          </w:p>
        </w:tc>
        <w:tc>
          <w:tcPr>
            <w:tcW w:w="1257" w:type="pct"/>
          </w:tcPr>
          <w:p w14:paraId="1310B947" w14:textId="77777777" w:rsidR="001D4E8E" w:rsidRPr="00C4220F" w:rsidRDefault="001D4E8E" w:rsidP="00FE6C0B">
            <w:pPr>
              <w:pStyle w:val="ListParagraph"/>
              <w:ind w:left="0"/>
              <w:rPr>
                <w:sz w:val="18"/>
                <w:szCs w:val="18"/>
              </w:rPr>
            </w:pPr>
            <w:r w:rsidRPr="00C4220F">
              <w:rPr>
                <w:sz w:val="18"/>
                <w:szCs w:val="18"/>
              </w:rPr>
              <w:t>Midazolam 10mg/2mls for buccal or nasal administration 0.5-1ml PRN hourly</w:t>
            </w:r>
          </w:p>
          <w:p w14:paraId="03A091D1" w14:textId="77777777" w:rsidR="00632229" w:rsidRPr="00C4220F" w:rsidRDefault="00632229" w:rsidP="00FE6C0B">
            <w:pPr>
              <w:pStyle w:val="ListParagraph"/>
              <w:ind w:left="0"/>
              <w:rPr>
                <w:sz w:val="18"/>
                <w:szCs w:val="18"/>
              </w:rPr>
            </w:pPr>
          </w:p>
          <w:p w14:paraId="4206BB2B" w14:textId="77777777" w:rsidR="00632229" w:rsidRPr="00C4220F" w:rsidRDefault="00632229" w:rsidP="00FE6C0B">
            <w:pPr>
              <w:pStyle w:val="ListParagraph"/>
              <w:ind w:left="0"/>
              <w:rPr>
                <w:sz w:val="18"/>
                <w:szCs w:val="18"/>
              </w:rPr>
            </w:pPr>
            <w:r w:rsidRPr="00C4220F">
              <w:rPr>
                <w:sz w:val="18"/>
                <w:szCs w:val="18"/>
              </w:rPr>
              <w:t>Prefilled midazolam buccal solution (</w:t>
            </w:r>
            <w:proofErr w:type="spellStart"/>
            <w:r w:rsidRPr="00C4220F">
              <w:rPr>
                <w:sz w:val="18"/>
                <w:szCs w:val="18"/>
              </w:rPr>
              <w:t>Buccolam</w:t>
            </w:r>
            <w:proofErr w:type="spellEnd"/>
            <w:r w:rsidRPr="00C4220F">
              <w:rPr>
                <w:sz w:val="18"/>
                <w:szCs w:val="18"/>
              </w:rPr>
              <w:t xml:space="preserve"> 10mg/2ml or </w:t>
            </w:r>
            <w:proofErr w:type="spellStart"/>
            <w:r w:rsidRPr="00C4220F">
              <w:rPr>
                <w:sz w:val="18"/>
                <w:szCs w:val="18"/>
              </w:rPr>
              <w:t>Epistatus</w:t>
            </w:r>
            <w:proofErr w:type="spellEnd"/>
            <w:r w:rsidRPr="00C4220F">
              <w:rPr>
                <w:sz w:val="18"/>
                <w:szCs w:val="18"/>
              </w:rPr>
              <w:t xml:space="preserve"> 10mg/ml)</w:t>
            </w:r>
          </w:p>
          <w:p w14:paraId="17473BF6" w14:textId="77777777" w:rsidR="001D4E8E" w:rsidRPr="00C4220F" w:rsidRDefault="001D4E8E" w:rsidP="00FE6C0B">
            <w:pPr>
              <w:pStyle w:val="ListParagraph"/>
              <w:ind w:left="0"/>
              <w:rPr>
                <w:sz w:val="18"/>
                <w:szCs w:val="18"/>
              </w:rPr>
            </w:pPr>
          </w:p>
          <w:p w14:paraId="22D40FF4" w14:textId="77777777" w:rsidR="001D4E8E" w:rsidRPr="00C4220F" w:rsidRDefault="001D4E8E" w:rsidP="00FE6C0B">
            <w:pPr>
              <w:pStyle w:val="ListParagraph"/>
              <w:ind w:left="0"/>
              <w:rPr>
                <w:sz w:val="18"/>
                <w:szCs w:val="18"/>
              </w:rPr>
            </w:pPr>
            <w:r w:rsidRPr="00C4220F">
              <w:rPr>
                <w:sz w:val="18"/>
                <w:szCs w:val="18"/>
              </w:rPr>
              <w:t>Rectal diazepam 10mg PR PRN</w:t>
            </w:r>
          </w:p>
        </w:tc>
      </w:tr>
      <w:tr w:rsidR="00B56B58" w:rsidRPr="00C4220F" w14:paraId="5671ABC5" w14:textId="77777777" w:rsidTr="00A23544">
        <w:tc>
          <w:tcPr>
            <w:tcW w:w="565" w:type="pct"/>
          </w:tcPr>
          <w:p w14:paraId="2F2DCD71" w14:textId="35936DB0" w:rsidR="00B56B58" w:rsidRPr="00C4220F" w:rsidRDefault="00B56B58" w:rsidP="00B56B58">
            <w:pPr>
              <w:pStyle w:val="ListParagraph"/>
              <w:ind w:left="0"/>
              <w:rPr>
                <w:b/>
                <w:sz w:val="18"/>
                <w:szCs w:val="18"/>
              </w:rPr>
            </w:pPr>
            <w:r w:rsidRPr="00C4220F">
              <w:rPr>
                <w:b/>
                <w:sz w:val="18"/>
                <w:szCs w:val="18"/>
              </w:rPr>
              <w:t>Respiratory secretions</w:t>
            </w:r>
          </w:p>
        </w:tc>
        <w:tc>
          <w:tcPr>
            <w:tcW w:w="730" w:type="pct"/>
          </w:tcPr>
          <w:p w14:paraId="1C05A1E6" w14:textId="77777777" w:rsidR="00B56B58" w:rsidRPr="00C4220F" w:rsidRDefault="00B56B58" w:rsidP="00B56B58">
            <w:pPr>
              <w:pStyle w:val="ListParagraph"/>
              <w:ind w:left="0"/>
              <w:rPr>
                <w:sz w:val="18"/>
                <w:szCs w:val="18"/>
              </w:rPr>
            </w:pPr>
            <w:r w:rsidRPr="00C4220F">
              <w:rPr>
                <w:sz w:val="18"/>
                <w:szCs w:val="18"/>
              </w:rPr>
              <w:t>Positioning</w:t>
            </w:r>
          </w:p>
          <w:p w14:paraId="1F20A290" w14:textId="77777777" w:rsidR="00B56B58" w:rsidRPr="00C4220F" w:rsidRDefault="00B56B58" w:rsidP="00B56B58">
            <w:pPr>
              <w:pStyle w:val="ListParagraph"/>
              <w:ind w:left="0"/>
              <w:rPr>
                <w:sz w:val="18"/>
                <w:szCs w:val="18"/>
              </w:rPr>
            </w:pPr>
          </w:p>
          <w:p w14:paraId="0B2F2951" w14:textId="42093605" w:rsidR="00B56B58" w:rsidRPr="00C4220F" w:rsidRDefault="00B56B58" w:rsidP="00B56B58">
            <w:pPr>
              <w:pStyle w:val="ListParagraph"/>
              <w:ind w:left="0"/>
              <w:rPr>
                <w:sz w:val="18"/>
                <w:szCs w:val="18"/>
              </w:rPr>
            </w:pPr>
            <w:r w:rsidRPr="00C4220F">
              <w:rPr>
                <w:sz w:val="18"/>
                <w:szCs w:val="18"/>
              </w:rPr>
              <w:t>Reassurance for carers</w:t>
            </w:r>
          </w:p>
        </w:tc>
        <w:tc>
          <w:tcPr>
            <w:tcW w:w="855" w:type="pct"/>
          </w:tcPr>
          <w:p w14:paraId="2B50C3EC" w14:textId="4B8395D0" w:rsidR="00B56B58" w:rsidRPr="00C4220F" w:rsidRDefault="00B56B58" w:rsidP="00B56B58">
            <w:pPr>
              <w:pStyle w:val="ListParagraph"/>
              <w:ind w:left="0"/>
              <w:rPr>
                <w:sz w:val="18"/>
                <w:szCs w:val="18"/>
              </w:rPr>
            </w:pPr>
            <w:r w:rsidRPr="00C4220F">
              <w:rPr>
                <w:sz w:val="18"/>
                <w:szCs w:val="18"/>
              </w:rPr>
              <w:t>N/A</w:t>
            </w:r>
          </w:p>
        </w:tc>
        <w:tc>
          <w:tcPr>
            <w:tcW w:w="746" w:type="pct"/>
          </w:tcPr>
          <w:p w14:paraId="766A3122" w14:textId="474E6D8E" w:rsidR="00B56B58" w:rsidRPr="00C4220F" w:rsidRDefault="00B56B58" w:rsidP="00B56B58">
            <w:pPr>
              <w:pStyle w:val="ListParagraph"/>
              <w:ind w:left="0"/>
              <w:rPr>
                <w:sz w:val="18"/>
                <w:szCs w:val="18"/>
              </w:rPr>
            </w:pPr>
            <w:r w:rsidRPr="00C4220F">
              <w:rPr>
                <w:sz w:val="18"/>
                <w:szCs w:val="18"/>
              </w:rPr>
              <w:t>*</w:t>
            </w:r>
            <w:proofErr w:type="spellStart"/>
            <w:r w:rsidRPr="00C4220F">
              <w:rPr>
                <w:sz w:val="18"/>
                <w:szCs w:val="18"/>
              </w:rPr>
              <w:t>Glycopyrronium</w:t>
            </w:r>
            <w:proofErr w:type="spellEnd"/>
            <w:r w:rsidRPr="00C4220F">
              <w:rPr>
                <w:sz w:val="18"/>
                <w:szCs w:val="18"/>
              </w:rPr>
              <w:t xml:space="preserve"> </w:t>
            </w:r>
          </w:p>
          <w:p w14:paraId="0EBB4B5F" w14:textId="5830A58F" w:rsidR="00B56B58" w:rsidRPr="00C4220F" w:rsidRDefault="00B56B58" w:rsidP="00B56B58">
            <w:pPr>
              <w:pStyle w:val="ListParagraph"/>
              <w:ind w:left="0"/>
              <w:rPr>
                <w:sz w:val="18"/>
                <w:szCs w:val="18"/>
              </w:rPr>
            </w:pPr>
            <w:r w:rsidRPr="00C4220F">
              <w:rPr>
                <w:sz w:val="18"/>
                <w:szCs w:val="18"/>
              </w:rPr>
              <w:t>200-300mcg SC  hourly (max 1.2mg/24 hrs)</w:t>
            </w:r>
          </w:p>
          <w:p w14:paraId="5D4C41C7" w14:textId="77777777" w:rsidR="004721EA" w:rsidRPr="00C4220F" w:rsidRDefault="004721EA" w:rsidP="00B56B58">
            <w:pPr>
              <w:pStyle w:val="ListParagraph"/>
              <w:ind w:left="0"/>
              <w:rPr>
                <w:sz w:val="18"/>
                <w:szCs w:val="18"/>
              </w:rPr>
            </w:pPr>
          </w:p>
          <w:p w14:paraId="4247301D" w14:textId="26CDAD9D" w:rsidR="00B56B58" w:rsidRPr="00C4220F" w:rsidRDefault="00B56B58" w:rsidP="00B56B58">
            <w:pPr>
              <w:pStyle w:val="ListParagraph"/>
              <w:ind w:left="0"/>
              <w:rPr>
                <w:sz w:val="18"/>
                <w:szCs w:val="18"/>
              </w:rPr>
            </w:pPr>
            <w:r w:rsidRPr="00C4220F">
              <w:rPr>
                <w:sz w:val="18"/>
                <w:szCs w:val="18"/>
              </w:rPr>
              <w:t xml:space="preserve">*Hyoscine </w:t>
            </w:r>
            <w:proofErr w:type="spellStart"/>
            <w:r w:rsidRPr="00C4220F">
              <w:rPr>
                <w:sz w:val="18"/>
                <w:szCs w:val="18"/>
              </w:rPr>
              <w:t>butylbromide</w:t>
            </w:r>
            <w:proofErr w:type="spellEnd"/>
            <w:r w:rsidRPr="00C4220F">
              <w:rPr>
                <w:sz w:val="18"/>
                <w:szCs w:val="18"/>
              </w:rPr>
              <w:t xml:space="preserve"> 20mg SC hourly</w:t>
            </w:r>
          </w:p>
          <w:p w14:paraId="400D8FA4" w14:textId="77777777" w:rsidR="00B56B58" w:rsidRPr="00C4220F" w:rsidRDefault="00B56B58" w:rsidP="00B56B58">
            <w:pPr>
              <w:pStyle w:val="ListParagraph"/>
              <w:ind w:left="0"/>
              <w:rPr>
                <w:sz w:val="18"/>
                <w:szCs w:val="18"/>
              </w:rPr>
            </w:pPr>
            <w:r w:rsidRPr="00C4220F">
              <w:rPr>
                <w:sz w:val="18"/>
                <w:szCs w:val="18"/>
              </w:rPr>
              <w:t>(max 120mg/24 hrs)</w:t>
            </w:r>
          </w:p>
          <w:p w14:paraId="634C6EE0" w14:textId="77777777" w:rsidR="00B56B58" w:rsidRPr="00C4220F" w:rsidRDefault="00B56B58" w:rsidP="00B56B58">
            <w:pPr>
              <w:pStyle w:val="ListParagraph"/>
              <w:ind w:left="0"/>
              <w:rPr>
                <w:sz w:val="18"/>
                <w:szCs w:val="18"/>
              </w:rPr>
            </w:pPr>
          </w:p>
          <w:p w14:paraId="06468196" w14:textId="3B8A2F63" w:rsidR="00B56B58" w:rsidRPr="00C4220F" w:rsidRDefault="00B56B58" w:rsidP="00B56B58">
            <w:pPr>
              <w:pStyle w:val="ListParagraph"/>
              <w:ind w:left="0"/>
              <w:rPr>
                <w:sz w:val="18"/>
                <w:szCs w:val="18"/>
              </w:rPr>
            </w:pPr>
            <w:r w:rsidRPr="00C4220F">
              <w:rPr>
                <w:sz w:val="18"/>
                <w:szCs w:val="18"/>
              </w:rPr>
              <w:t>*Hyoscine hydrobromide 0.4mg SC  hourly</w:t>
            </w:r>
          </w:p>
          <w:p w14:paraId="61B4750E" w14:textId="77777777" w:rsidR="00B56B58" w:rsidRPr="00C4220F" w:rsidRDefault="00B56B58" w:rsidP="00B56B58">
            <w:pPr>
              <w:pStyle w:val="ListParagraph"/>
              <w:ind w:left="0"/>
              <w:rPr>
                <w:sz w:val="18"/>
                <w:szCs w:val="18"/>
              </w:rPr>
            </w:pPr>
            <w:r w:rsidRPr="00C4220F">
              <w:rPr>
                <w:sz w:val="18"/>
                <w:szCs w:val="18"/>
              </w:rPr>
              <w:t>(max 1.6mg/24 hrs)</w:t>
            </w:r>
          </w:p>
          <w:p w14:paraId="6580E6E9" w14:textId="77777777" w:rsidR="00B56B58" w:rsidRPr="00C4220F" w:rsidRDefault="00B56B58" w:rsidP="00B56B58">
            <w:pPr>
              <w:pStyle w:val="ListParagraph"/>
              <w:ind w:left="0"/>
              <w:rPr>
                <w:sz w:val="18"/>
                <w:szCs w:val="18"/>
              </w:rPr>
            </w:pPr>
          </w:p>
          <w:p w14:paraId="5478F0C0" w14:textId="3B706C72" w:rsidR="00B56B58" w:rsidRPr="00C4220F" w:rsidRDefault="00B56B58" w:rsidP="00B56B58">
            <w:pPr>
              <w:rPr>
                <w:sz w:val="18"/>
                <w:szCs w:val="18"/>
              </w:rPr>
            </w:pPr>
            <w:r w:rsidRPr="00C4220F">
              <w:rPr>
                <w:sz w:val="18"/>
                <w:szCs w:val="18"/>
              </w:rPr>
              <w:t>*Choice depends on local formulary</w:t>
            </w:r>
          </w:p>
        </w:tc>
        <w:tc>
          <w:tcPr>
            <w:tcW w:w="847" w:type="pct"/>
          </w:tcPr>
          <w:p w14:paraId="6AB82CD2" w14:textId="31A1DCB2" w:rsidR="00B56B58" w:rsidRPr="00C4220F" w:rsidRDefault="004721EA" w:rsidP="00B56B58">
            <w:pPr>
              <w:pStyle w:val="ListParagraph"/>
              <w:ind w:left="0"/>
              <w:rPr>
                <w:sz w:val="18"/>
                <w:szCs w:val="18"/>
              </w:rPr>
            </w:pPr>
            <w:r w:rsidRPr="00C4220F">
              <w:rPr>
                <w:sz w:val="18"/>
                <w:szCs w:val="18"/>
              </w:rPr>
              <w:t>*</w:t>
            </w:r>
            <w:proofErr w:type="spellStart"/>
            <w:r w:rsidR="00B56B58" w:rsidRPr="00C4220F">
              <w:rPr>
                <w:sz w:val="18"/>
                <w:szCs w:val="18"/>
              </w:rPr>
              <w:t>Glycopyrronium</w:t>
            </w:r>
            <w:proofErr w:type="spellEnd"/>
            <w:r w:rsidR="00B56B58" w:rsidRPr="00C4220F">
              <w:rPr>
                <w:sz w:val="18"/>
                <w:szCs w:val="18"/>
              </w:rPr>
              <w:t xml:space="preserve"> 0.8-1.2mg/24 hours</w:t>
            </w:r>
          </w:p>
          <w:p w14:paraId="369C7145" w14:textId="77777777" w:rsidR="00B56B58" w:rsidRPr="00C4220F" w:rsidRDefault="00B56B58" w:rsidP="00B56B58">
            <w:pPr>
              <w:pStyle w:val="ListParagraph"/>
              <w:ind w:left="0"/>
              <w:rPr>
                <w:sz w:val="18"/>
                <w:szCs w:val="18"/>
              </w:rPr>
            </w:pPr>
          </w:p>
          <w:p w14:paraId="2AB23D02" w14:textId="77777777" w:rsidR="00B56B58" w:rsidRPr="00C4220F" w:rsidRDefault="00B56B58" w:rsidP="00B56B58">
            <w:pPr>
              <w:pStyle w:val="ListParagraph"/>
              <w:ind w:left="0"/>
              <w:rPr>
                <w:sz w:val="18"/>
                <w:szCs w:val="18"/>
              </w:rPr>
            </w:pPr>
          </w:p>
          <w:p w14:paraId="12DB4082" w14:textId="299C6744" w:rsidR="00B56B58" w:rsidRPr="00C4220F" w:rsidRDefault="004721EA" w:rsidP="00B56B58">
            <w:pPr>
              <w:pStyle w:val="ListParagraph"/>
              <w:ind w:left="0"/>
              <w:rPr>
                <w:sz w:val="18"/>
                <w:szCs w:val="18"/>
              </w:rPr>
            </w:pPr>
            <w:r w:rsidRPr="00C4220F">
              <w:rPr>
                <w:sz w:val="18"/>
                <w:szCs w:val="18"/>
              </w:rPr>
              <w:t>*</w:t>
            </w:r>
            <w:r w:rsidR="00B56B58" w:rsidRPr="00C4220F">
              <w:rPr>
                <w:sz w:val="18"/>
                <w:szCs w:val="18"/>
              </w:rPr>
              <w:t xml:space="preserve">Hyoscine </w:t>
            </w:r>
            <w:proofErr w:type="spellStart"/>
            <w:r w:rsidR="00B56B58" w:rsidRPr="00C4220F">
              <w:rPr>
                <w:sz w:val="18"/>
                <w:szCs w:val="18"/>
              </w:rPr>
              <w:t>butylbromide</w:t>
            </w:r>
            <w:proofErr w:type="spellEnd"/>
            <w:r w:rsidR="00B56B58" w:rsidRPr="00C4220F">
              <w:rPr>
                <w:sz w:val="18"/>
                <w:szCs w:val="18"/>
              </w:rPr>
              <w:t xml:space="preserve"> 60-120mg/24 hours</w:t>
            </w:r>
          </w:p>
          <w:p w14:paraId="00467959" w14:textId="77777777" w:rsidR="00B56B58" w:rsidRPr="00C4220F" w:rsidRDefault="00B56B58" w:rsidP="00B56B58">
            <w:pPr>
              <w:pStyle w:val="ListParagraph"/>
              <w:ind w:left="0"/>
              <w:rPr>
                <w:sz w:val="18"/>
                <w:szCs w:val="18"/>
              </w:rPr>
            </w:pPr>
          </w:p>
          <w:p w14:paraId="2AA9EEB3" w14:textId="77777777" w:rsidR="00B56B58" w:rsidRPr="00C4220F" w:rsidRDefault="00B56B58" w:rsidP="00B56B58">
            <w:pPr>
              <w:pStyle w:val="ListParagraph"/>
              <w:ind w:left="0"/>
              <w:rPr>
                <w:sz w:val="18"/>
                <w:szCs w:val="18"/>
              </w:rPr>
            </w:pPr>
          </w:p>
          <w:p w14:paraId="543718AD" w14:textId="77777777" w:rsidR="00B56B58" w:rsidRPr="00C4220F" w:rsidRDefault="00B56B58" w:rsidP="00B56B58">
            <w:pPr>
              <w:pStyle w:val="ListParagraph"/>
              <w:ind w:left="0"/>
              <w:rPr>
                <w:sz w:val="18"/>
                <w:szCs w:val="18"/>
              </w:rPr>
            </w:pPr>
          </w:p>
          <w:p w14:paraId="5FCF9D88" w14:textId="77777777" w:rsidR="00B56B58" w:rsidRPr="00C4220F" w:rsidRDefault="00B56B58" w:rsidP="00B56B58">
            <w:pPr>
              <w:pStyle w:val="ListParagraph"/>
              <w:ind w:left="0"/>
              <w:rPr>
                <w:sz w:val="18"/>
                <w:szCs w:val="18"/>
              </w:rPr>
            </w:pPr>
            <w:r w:rsidRPr="00C4220F">
              <w:rPr>
                <w:sz w:val="18"/>
                <w:szCs w:val="18"/>
              </w:rPr>
              <w:t>Hyoscine hydrobromide 1.2-1.6mg/24 hours</w:t>
            </w:r>
          </w:p>
          <w:p w14:paraId="0B319B67" w14:textId="77777777" w:rsidR="004721EA" w:rsidRPr="00C4220F" w:rsidRDefault="004721EA" w:rsidP="00B56B58">
            <w:pPr>
              <w:pStyle w:val="ListParagraph"/>
              <w:ind w:left="0"/>
              <w:rPr>
                <w:sz w:val="18"/>
                <w:szCs w:val="18"/>
              </w:rPr>
            </w:pPr>
          </w:p>
          <w:p w14:paraId="3EB8E28C" w14:textId="651D0A9E" w:rsidR="004721EA" w:rsidRPr="00C4220F" w:rsidRDefault="004721EA" w:rsidP="00B56B58">
            <w:pPr>
              <w:pStyle w:val="ListParagraph"/>
              <w:ind w:left="0"/>
              <w:rPr>
                <w:sz w:val="18"/>
                <w:szCs w:val="18"/>
              </w:rPr>
            </w:pPr>
            <w:r w:rsidRPr="00C4220F">
              <w:rPr>
                <w:sz w:val="18"/>
                <w:szCs w:val="18"/>
              </w:rPr>
              <w:t>*Choice depends on local formulary</w:t>
            </w:r>
          </w:p>
        </w:tc>
        <w:tc>
          <w:tcPr>
            <w:tcW w:w="1257" w:type="pct"/>
          </w:tcPr>
          <w:p w14:paraId="703E7937" w14:textId="77777777" w:rsidR="00B56B58" w:rsidRPr="00C4220F" w:rsidRDefault="00B56B58" w:rsidP="00B56B58">
            <w:pPr>
              <w:pStyle w:val="ListParagraph"/>
              <w:ind w:left="0"/>
              <w:rPr>
                <w:sz w:val="18"/>
                <w:szCs w:val="18"/>
              </w:rPr>
            </w:pPr>
            <w:r w:rsidRPr="00C4220F">
              <w:rPr>
                <w:sz w:val="18"/>
                <w:szCs w:val="18"/>
              </w:rPr>
              <w:t>Hyoscine hydrobromide patches (</w:t>
            </w:r>
            <w:proofErr w:type="spellStart"/>
            <w:r w:rsidRPr="00C4220F">
              <w:rPr>
                <w:sz w:val="18"/>
                <w:szCs w:val="18"/>
              </w:rPr>
              <w:t>Scopoderm</w:t>
            </w:r>
            <w:proofErr w:type="spellEnd"/>
            <w:r w:rsidRPr="00C4220F">
              <w:rPr>
                <w:sz w:val="18"/>
                <w:szCs w:val="18"/>
              </w:rPr>
              <w:t>) 1mg 72 hourly (can use 2 patches)</w:t>
            </w:r>
          </w:p>
          <w:p w14:paraId="27BD295E" w14:textId="77777777" w:rsidR="00B56B58" w:rsidRPr="00C4220F" w:rsidRDefault="00B56B58" w:rsidP="00B56B58">
            <w:pPr>
              <w:pStyle w:val="ListParagraph"/>
              <w:ind w:left="0"/>
              <w:rPr>
                <w:sz w:val="18"/>
                <w:szCs w:val="18"/>
              </w:rPr>
            </w:pPr>
          </w:p>
          <w:p w14:paraId="55D7E4CF" w14:textId="408AFC97" w:rsidR="00B56B58" w:rsidRPr="00C4220F" w:rsidRDefault="00C4220F" w:rsidP="00B56B58">
            <w:pPr>
              <w:pStyle w:val="ListParagraph"/>
              <w:ind w:left="0"/>
              <w:rPr>
                <w:sz w:val="18"/>
                <w:szCs w:val="18"/>
              </w:rPr>
            </w:pPr>
            <w:proofErr w:type="spellStart"/>
            <w:r w:rsidRPr="00C4220F">
              <w:rPr>
                <w:sz w:val="18"/>
                <w:szCs w:val="18"/>
              </w:rPr>
              <w:t>Glycopyrronium</w:t>
            </w:r>
            <w:proofErr w:type="spellEnd"/>
            <w:r w:rsidRPr="00C4220F">
              <w:rPr>
                <w:sz w:val="18"/>
                <w:szCs w:val="18"/>
              </w:rPr>
              <w:t xml:space="preserve"> injection applied buccally 200-300mcg SC hourly (max 1.2mg/24 hrs)</w:t>
            </w:r>
          </w:p>
        </w:tc>
      </w:tr>
      <w:tr w:rsidR="00B56B58" w:rsidRPr="00C4220F" w14:paraId="4559E9CD" w14:textId="77777777" w:rsidTr="00A23544">
        <w:tc>
          <w:tcPr>
            <w:tcW w:w="565" w:type="pct"/>
          </w:tcPr>
          <w:p w14:paraId="6975D3F5" w14:textId="77777777" w:rsidR="00B56B58" w:rsidRPr="00C4220F" w:rsidRDefault="00B56B58" w:rsidP="00B56B58">
            <w:pPr>
              <w:pStyle w:val="ListParagraph"/>
              <w:ind w:left="0"/>
              <w:rPr>
                <w:b/>
                <w:sz w:val="18"/>
                <w:szCs w:val="18"/>
              </w:rPr>
            </w:pPr>
            <w:r w:rsidRPr="00C4220F">
              <w:rPr>
                <w:b/>
                <w:sz w:val="18"/>
                <w:szCs w:val="18"/>
              </w:rPr>
              <w:t>Fever</w:t>
            </w:r>
          </w:p>
        </w:tc>
        <w:tc>
          <w:tcPr>
            <w:tcW w:w="730" w:type="pct"/>
          </w:tcPr>
          <w:p w14:paraId="68515669" w14:textId="77777777" w:rsidR="00B56B58" w:rsidRPr="00C4220F" w:rsidRDefault="00B56B58" w:rsidP="00B56B58">
            <w:pPr>
              <w:pStyle w:val="ListParagraph"/>
              <w:ind w:left="0"/>
              <w:rPr>
                <w:sz w:val="18"/>
                <w:szCs w:val="18"/>
              </w:rPr>
            </w:pPr>
            <w:r w:rsidRPr="00C4220F">
              <w:rPr>
                <w:sz w:val="18"/>
                <w:szCs w:val="18"/>
              </w:rPr>
              <w:t>Cool flannel</w:t>
            </w:r>
          </w:p>
        </w:tc>
        <w:tc>
          <w:tcPr>
            <w:tcW w:w="855" w:type="pct"/>
          </w:tcPr>
          <w:p w14:paraId="136CF661" w14:textId="77777777" w:rsidR="00B56B58" w:rsidRPr="00C4220F" w:rsidRDefault="00B56B58" w:rsidP="00B56B58">
            <w:pPr>
              <w:pStyle w:val="ListParagraph"/>
              <w:ind w:left="0"/>
              <w:rPr>
                <w:sz w:val="18"/>
                <w:szCs w:val="18"/>
              </w:rPr>
            </w:pPr>
            <w:r w:rsidRPr="00C4220F">
              <w:rPr>
                <w:sz w:val="18"/>
                <w:szCs w:val="18"/>
              </w:rPr>
              <w:t>Paracetamol  1g PO QDS</w:t>
            </w:r>
          </w:p>
        </w:tc>
        <w:tc>
          <w:tcPr>
            <w:tcW w:w="746" w:type="pct"/>
          </w:tcPr>
          <w:p w14:paraId="5634A0DB" w14:textId="7C842597" w:rsidR="00B56B58" w:rsidRPr="00C4220F" w:rsidRDefault="004721EA" w:rsidP="00B56B58">
            <w:pPr>
              <w:pStyle w:val="ListParagraph"/>
              <w:ind w:left="0"/>
              <w:rPr>
                <w:sz w:val="18"/>
                <w:szCs w:val="18"/>
              </w:rPr>
            </w:pPr>
            <w:r w:rsidRPr="00C4220F">
              <w:rPr>
                <w:sz w:val="18"/>
                <w:szCs w:val="18"/>
              </w:rPr>
              <w:t>N/A</w:t>
            </w:r>
          </w:p>
        </w:tc>
        <w:tc>
          <w:tcPr>
            <w:tcW w:w="847" w:type="pct"/>
          </w:tcPr>
          <w:p w14:paraId="3C0BE58C" w14:textId="4016FCC7" w:rsidR="00B56B58" w:rsidRPr="00C4220F" w:rsidRDefault="004721EA" w:rsidP="00B56B58">
            <w:pPr>
              <w:pStyle w:val="ListParagraph"/>
              <w:ind w:left="0"/>
              <w:rPr>
                <w:sz w:val="18"/>
                <w:szCs w:val="18"/>
              </w:rPr>
            </w:pPr>
            <w:r w:rsidRPr="00C4220F">
              <w:rPr>
                <w:sz w:val="18"/>
                <w:szCs w:val="18"/>
              </w:rPr>
              <w:t>N/A</w:t>
            </w:r>
          </w:p>
        </w:tc>
        <w:tc>
          <w:tcPr>
            <w:tcW w:w="1257" w:type="pct"/>
          </w:tcPr>
          <w:p w14:paraId="2F720C98" w14:textId="77777777" w:rsidR="00B56B58" w:rsidRPr="00C4220F" w:rsidRDefault="00B56B58" w:rsidP="00B56B58">
            <w:pPr>
              <w:pStyle w:val="ListParagraph"/>
              <w:ind w:left="0"/>
              <w:rPr>
                <w:sz w:val="18"/>
                <w:szCs w:val="18"/>
              </w:rPr>
            </w:pPr>
            <w:r w:rsidRPr="00C4220F">
              <w:rPr>
                <w:sz w:val="18"/>
                <w:szCs w:val="18"/>
              </w:rPr>
              <w:t>Paracetamol suppositories 1g QDS PR</w:t>
            </w:r>
          </w:p>
        </w:tc>
      </w:tr>
    </w:tbl>
    <w:p w14:paraId="3EC8B149" w14:textId="77777777" w:rsidR="00FE6C0B" w:rsidRDefault="00FE6C0B" w:rsidP="001D4E8E">
      <w:pPr>
        <w:ind w:firstLine="720"/>
      </w:pPr>
    </w:p>
    <w:sectPr w:rsidR="00FE6C0B" w:rsidSect="001D4E8E">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66027" w14:textId="77777777" w:rsidR="00C6646A" w:rsidRDefault="00C6646A" w:rsidP="00C6646A">
      <w:pPr>
        <w:spacing w:after="0" w:line="240" w:lineRule="auto"/>
      </w:pPr>
      <w:r>
        <w:separator/>
      </w:r>
    </w:p>
  </w:endnote>
  <w:endnote w:type="continuationSeparator" w:id="0">
    <w:p w14:paraId="65CE1BDE" w14:textId="77777777" w:rsidR="00C6646A" w:rsidRDefault="00C6646A" w:rsidP="00C6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287857702"/>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C1E3D82" w14:textId="6408774C" w:rsidR="00A23544" w:rsidRDefault="00A23544" w:rsidP="00A23544">
            <w:pPr>
              <w:pStyle w:val="Footer"/>
              <w:jc w:val="center"/>
              <w:rPr>
                <w:sz w:val="20"/>
                <w:szCs w:val="20"/>
              </w:rPr>
            </w:pPr>
            <w:r w:rsidRPr="00BA2591">
              <w:rPr>
                <w:sz w:val="20"/>
                <w:szCs w:val="20"/>
              </w:rPr>
              <w:t xml:space="preserve">Royal Trinity Hospice 27 March 2020 with acknowledgement NHSE/I (London Region EOLC Clinical Network group    </w:t>
            </w:r>
          </w:p>
          <w:p w14:paraId="3F2A7EBE" w14:textId="77777777" w:rsidR="00A23544" w:rsidRPr="00BA2591" w:rsidRDefault="00A23544" w:rsidP="00A23544">
            <w:pPr>
              <w:pStyle w:val="Footer"/>
              <w:jc w:val="center"/>
              <w:rPr>
                <w:sz w:val="20"/>
                <w:szCs w:val="20"/>
              </w:rPr>
            </w:pPr>
            <w:r w:rsidRPr="00BA2591">
              <w:rPr>
                <w:sz w:val="20"/>
                <w:szCs w:val="20"/>
              </w:rPr>
              <w:t xml:space="preserve">Page </w:t>
            </w:r>
            <w:r w:rsidRPr="00BA2591">
              <w:fldChar w:fldCharType="begin"/>
            </w:r>
            <w:r w:rsidRPr="00BA2591">
              <w:rPr>
                <w:sz w:val="20"/>
                <w:szCs w:val="20"/>
              </w:rPr>
              <w:instrText xml:space="preserve"> PAGE </w:instrText>
            </w:r>
            <w:r w:rsidRPr="00BA2591">
              <w:fldChar w:fldCharType="separate"/>
            </w:r>
            <w:r>
              <w:t>1</w:t>
            </w:r>
            <w:r w:rsidRPr="00BA2591">
              <w:fldChar w:fldCharType="end"/>
            </w:r>
            <w:r w:rsidRPr="00BA2591">
              <w:rPr>
                <w:sz w:val="20"/>
                <w:szCs w:val="20"/>
              </w:rPr>
              <w:t xml:space="preserve"> of </w:t>
            </w:r>
            <w:r w:rsidRPr="00BA2591">
              <w:fldChar w:fldCharType="begin"/>
            </w:r>
            <w:r w:rsidRPr="00BA2591">
              <w:rPr>
                <w:sz w:val="20"/>
                <w:szCs w:val="20"/>
              </w:rPr>
              <w:instrText xml:space="preserve"> NUMPAGES  </w:instrText>
            </w:r>
            <w:r w:rsidRPr="00BA2591">
              <w:fldChar w:fldCharType="separate"/>
            </w:r>
            <w:r>
              <w:t>7</w:t>
            </w:r>
            <w:r w:rsidRPr="00BA2591">
              <w:fldChar w:fldCharType="end"/>
            </w:r>
          </w:p>
        </w:sdtContent>
      </w:sdt>
    </w:sdtContent>
  </w:sdt>
  <w:p w14:paraId="6F8325E5" w14:textId="77777777" w:rsidR="00A23544" w:rsidRDefault="00A2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26022" w14:textId="77777777" w:rsidR="00C6646A" w:rsidRDefault="00C6646A" w:rsidP="00C6646A">
      <w:pPr>
        <w:spacing w:after="0" w:line="240" w:lineRule="auto"/>
      </w:pPr>
      <w:r>
        <w:separator/>
      </w:r>
    </w:p>
  </w:footnote>
  <w:footnote w:type="continuationSeparator" w:id="0">
    <w:p w14:paraId="0D28DAEA" w14:textId="77777777" w:rsidR="00C6646A" w:rsidRDefault="00C6646A" w:rsidP="00C66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6E94C" w14:textId="2AB4C0FF" w:rsidR="00A23544" w:rsidRDefault="00A23544" w:rsidP="00A23544">
    <w:pPr>
      <w:pStyle w:val="Header"/>
      <w:tabs>
        <w:tab w:val="clear" w:pos="4513"/>
        <w:tab w:val="clear" w:pos="9026"/>
        <w:tab w:val="left" w:pos="11835"/>
      </w:tabs>
    </w:pPr>
    <w:r>
      <w:tab/>
    </w:r>
    <w:r>
      <w:rPr>
        <w:noProof/>
      </w:rPr>
      <w:drawing>
        <wp:inline distT="0" distB="0" distL="0" distR="0" wp14:anchorId="196DF777" wp14:editId="2431EF44">
          <wp:extent cx="122555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B0C"/>
    <w:multiLevelType w:val="hybridMultilevel"/>
    <w:tmpl w:val="DA1AA8AC"/>
    <w:lvl w:ilvl="0" w:tplc="F5D0D6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557DC"/>
    <w:multiLevelType w:val="hybridMultilevel"/>
    <w:tmpl w:val="769A97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0085CA4"/>
    <w:multiLevelType w:val="hybridMultilevel"/>
    <w:tmpl w:val="9558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B21DEF"/>
    <w:multiLevelType w:val="hybridMultilevel"/>
    <w:tmpl w:val="2DF8D198"/>
    <w:lvl w:ilvl="0" w:tplc="521C5BF4">
      <w:start w:val="20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DF7B64"/>
    <w:multiLevelType w:val="hybridMultilevel"/>
    <w:tmpl w:val="4FA0329E"/>
    <w:lvl w:ilvl="0" w:tplc="14A67498">
      <w:start w:val="2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C0B"/>
    <w:rsid w:val="001B68F6"/>
    <w:rsid w:val="001D4E8E"/>
    <w:rsid w:val="004721EA"/>
    <w:rsid w:val="00494202"/>
    <w:rsid w:val="00577DB3"/>
    <w:rsid w:val="005F5B7A"/>
    <w:rsid w:val="00632229"/>
    <w:rsid w:val="00693F56"/>
    <w:rsid w:val="006B6EBB"/>
    <w:rsid w:val="00862B11"/>
    <w:rsid w:val="009E5389"/>
    <w:rsid w:val="009E58C6"/>
    <w:rsid w:val="00A23544"/>
    <w:rsid w:val="00B56B58"/>
    <w:rsid w:val="00C4220F"/>
    <w:rsid w:val="00C6646A"/>
    <w:rsid w:val="00CD31EA"/>
    <w:rsid w:val="00D34EE7"/>
    <w:rsid w:val="00E97CC2"/>
    <w:rsid w:val="00F24D7C"/>
    <w:rsid w:val="00FE6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D8CEAA"/>
  <w15:docId w15:val="{4736FEE0-3C4C-B841-8761-23C7E5D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C0B"/>
    <w:pPr>
      <w:ind w:left="720"/>
      <w:contextualSpacing/>
    </w:pPr>
  </w:style>
  <w:style w:type="table" w:styleId="TableGrid">
    <w:name w:val="Table Grid"/>
    <w:basedOn w:val="TableNormal"/>
    <w:uiPriority w:val="59"/>
    <w:rsid w:val="00FE6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4E8E"/>
    <w:pPr>
      <w:spacing w:after="0" w:line="240" w:lineRule="auto"/>
    </w:pPr>
  </w:style>
  <w:style w:type="character" w:customStyle="1" w:styleId="apple-converted-space">
    <w:name w:val="apple-converted-space"/>
    <w:basedOn w:val="DefaultParagraphFont"/>
    <w:rsid w:val="00B56B58"/>
  </w:style>
  <w:style w:type="paragraph" w:styleId="Header">
    <w:name w:val="header"/>
    <w:basedOn w:val="Normal"/>
    <w:link w:val="HeaderChar"/>
    <w:uiPriority w:val="99"/>
    <w:unhideWhenUsed/>
    <w:rsid w:val="00C66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46A"/>
  </w:style>
  <w:style w:type="paragraph" w:styleId="Footer">
    <w:name w:val="footer"/>
    <w:basedOn w:val="Normal"/>
    <w:link w:val="FooterChar"/>
    <w:uiPriority w:val="99"/>
    <w:unhideWhenUsed/>
    <w:rsid w:val="00C66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46A"/>
  </w:style>
  <w:style w:type="character" w:styleId="CommentReference">
    <w:name w:val="annotation reference"/>
    <w:basedOn w:val="DefaultParagraphFont"/>
    <w:uiPriority w:val="99"/>
    <w:semiHidden/>
    <w:unhideWhenUsed/>
    <w:rsid w:val="00CD31EA"/>
    <w:rPr>
      <w:sz w:val="16"/>
      <w:szCs w:val="16"/>
    </w:rPr>
  </w:style>
  <w:style w:type="paragraph" w:styleId="CommentText">
    <w:name w:val="annotation text"/>
    <w:basedOn w:val="Normal"/>
    <w:link w:val="CommentTextChar"/>
    <w:uiPriority w:val="99"/>
    <w:semiHidden/>
    <w:unhideWhenUsed/>
    <w:rsid w:val="00CD31EA"/>
    <w:pPr>
      <w:spacing w:line="240" w:lineRule="auto"/>
    </w:pPr>
    <w:rPr>
      <w:sz w:val="20"/>
      <w:szCs w:val="20"/>
    </w:rPr>
  </w:style>
  <w:style w:type="character" w:customStyle="1" w:styleId="CommentTextChar">
    <w:name w:val="Comment Text Char"/>
    <w:basedOn w:val="DefaultParagraphFont"/>
    <w:link w:val="CommentText"/>
    <w:uiPriority w:val="99"/>
    <w:semiHidden/>
    <w:rsid w:val="00CD31EA"/>
    <w:rPr>
      <w:sz w:val="20"/>
      <w:szCs w:val="20"/>
    </w:rPr>
  </w:style>
  <w:style w:type="paragraph" w:styleId="CommentSubject">
    <w:name w:val="annotation subject"/>
    <w:basedOn w:val="CommentText"/>
    <w:next w:val="CommentText"/>
    <w:link w:val="CommentSubjectChar"/>
    <w:uiPriority w:val="99"/>
    <w:semiHidden/>
    <w:unhideWhenUsed/>
    <w:rsid w:val="00CD31EA"/>
    <w:rPr>
      <w:b/>
      <w:bCs/>
    </w:rPr>
  </w:style>
  <w:style w:type="character" w:customStyle="1" w:styleId="CommentSubjectChar">
    <w:name w:val="Comment Subject Char"/>
    <w:basedOn w:val="CommentTextChar"/>
    <w:link w:val="CommentSubject"/>
    <w:uiPriority w:val="99"/>
    <w:semiHidden/>
    <w:rsid w:val="00CD31EA"/>
    <w:rPr>
      <w:b/>
      <w:bCs/>
      <w:sz w:val="20"/>
      <w:szCs w:val="20"/>
    </w:rPr>
  </w:style>
  <w:style w:type="paragraph" w:styleId="BalloonText">
    <w:name w:val="Balloon Text"/>
    <w:basedOn w:val="Normal"/>
    <w:link w:val="BalloonTextChar"/>
    <w:uiPriority w:val="99"/>
    <w:semiHidden/>
    <w:unhideWhenUsed/>
    <w:rsid w:val="00CD3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5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 CNWL</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Sallnow</dc:creator>
  <cp:lastModifiedBy>Caroline Quilty</cp:lastModifiedBy>
  <cp:revision>4</cp:revision>
  <cp:lastPrinted>2020-03-27T15:50:00Z</cp:lastPrinted>
  <dcterms:created xsi:type="dcterms:W3CDTF">2020-03-27T15:28:00Z</dcterms:created>
  <dcterms:modified xsi:type="dcterms:W3CDTF">2020-03-27T16:38:00Z</dcterms:modified>
</cp:coreProperties>
</file>